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88D1C" w14:textId="77777777" w:rsidR="00E3542E" w:rsidRPr="006728B9" w:rsidRDefault="00E3542E" w:rsidP="007252FD">
      <w:pPr>
        <w:jc w:val="center"/>
        <w:rPr>
          <w:noProof/>
        </w:rPr>
      </w:pPr>
      <w:r w:rsidRPr="006728B9">
        <w:rPr>
          <w:noProof/>
          <w:lang w:val="en-US" w:bidi="ar-SA"/>
        </w:rPr>
        <w:drawing>
          <wp:inline distT="0" distB="0" distL="0" distR="0" wp14:anchorId="12C5E39B" wp14:editId="4C64C656">
            <wp:extent cx="1445644" cy="495300"/>
            <wp:effectExtent l="0" t="0" r="2540" b="0"/>
            <wp:docPr id="3" name="Picture 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55505" cy="498678"/>
                    </a:xfrm>
                    <a:prstGeom prst="rect">
                      <a:avLst/>
                    </a:prstGeom>
                  </pic:spPr>
                </pic:pic>
              </a:graphicData>
            </a:graphic>
          </wp:inline>
        </w:drawing>
      </w:r>
    </w:p>
    <w:p w14:paraId="3AAA1E0D" w14:textId="77777777" w:rsidR="00E3542E" w:rsidRPr="006728B9" w:rsidRDefault="00E3542E" w:rsidP="007252FD">
      <w:pPr>
        <w:jc w:val="center"/>
        <w:rPr>
          <w:noProof/>
        </w:rPr>
      </w:pPr>
    </w:p>
    <w:p w14:paraId="2B4F9903" w14:textId="77777777" w:rsidR="00E3542E" w:rsidRPr="006728B9" w:rsidRDefault="00E3542E" w:rsidP="007252FD">
      <w:pPr>
        <w:jc w:val="center"/>
        <w:rPr>
          <w:noProof/>
        </w:rPr>
      </w:pPr>
    </w:p>
    <w:p w14:paraId="27ADDC16" w14:textId="77777777" w:rsidR="00E3542E" w:rsidRPr="006728B9" w:rsidRDefault="00E3542E" w:rsidP="007252FD">
      <w:pPr>
        <w:jc w:val="center"/>
        <w:rPr>
          <w:noProof/>
        </w:rPr>
      </w:pPr>
    </w:p>
    <w:p w14:paraId="53E10338" w14:textId="77777777" w:rsidR="00E3542E" w:rsidRPr="006728B9" w:rsidRDefault="00E3542E" w:rsidP="007252FD">
      <w:pPr>
        <w:jc w:val="center"/>
        <w:rPr>
          <w:noProof/>
        </w:rPr>
      </w:pPr>
    </w:p>
    <w:p w14:paraId="7A456344" w14:textId="77777777" w:rsidR="00E3542E" w:rsidRPr="006728B9" w:rsidRDefault="00E3542E" w:rsidP="007252FD">
      <w:pPr>
        <w:jc w:val="center"/>
        <w:rPr>
          <w:noProof/>
        </w:rPr>
      </w:pPr>
    </w:p>
    <w:p w14:paraId="52FE256F" w14:textId="77777777" w:rsidR="00E3542E" w:rsidRPr="006728B9" w:rsidRDefault="00E3542E" w:rsidP="007252FD">
      <w:pPr>
        <w:jc w:val="center"/>
        <w:rPr>
          <w:noProof/>
        </w:rPr>
      </w:pPr>
    </w:p>
    <w:p w14:paraId="7AEEE55E" w14:textId="77777777" w:rsidR="00E3542E" w:rsidRPr="006728B9" w:rsidRDefault="00E3542E" w:rsidP="007252FD">
      <w:pPr>
        <w:rPr>
          <w:noProof/>
        </w:rPr>
      </w:pPr>
    </w:p>
    <w:p w14:paraId="39E24361" w14:textId="77777777" w:rsidR="00E3542E" w:rsidRDefault="00E3542E" w:rsidP="007252FD">
      <w:pPr>
        <w:jc w:val="center"/>
        <w:rPr>
          <w:noProof/>
        </w:rPr>
      </w:pPr>
    </w:p>
    <w:p w14:paraId="383FC05F" w14:textId="77777777" w:rsidR="00E3542E" w:rsidRDefault="00E3542E" w:rsidP="007252FD">
      <w:pPr>
        <w:jc w:val="center"/>
        <w:rPr>
          <w:noProof/>
        </w:rPr>
      </w:pPr>
    </w:p>
    <w:p w14:paraId="00C3D814" w14:textId="77777777" w:rsidR="00E3542E" w:rsidRDefault="00E3542E" w:rsidP="007252FD">
      <w:pPr>
        <w:jc w:val="center"/>
        <w:rPr>
          <w:noProof/>
        </w:rPr>
      </w:pPr>
    </w:p>
    <w:p w14:paraId="74452964" w14:textId="77777777" w:rsidR="00E3542E" w:rsidRDefault="00E3542E" w:rsidP="007252FD">
      <w:pPr>
        <w:jc w:val="center"/>
        <w:rPr>
          <w:noProof/>
        </w:rPr>
      </w:pPr>
    </w:p>
    <w:p w14:paraId="1C51CF07" w14:textId="77777777" w:rsidR="00E3542E" w:rsidRPr="006728B9" w:rsidRDefault="00E3542E" w:rsidP="007252FD">
      <w:pPr>
        <w:jc w:val="center"/>
        <w:rPr>
          <w:noProof/>
        </w:rPr>
      </w:pPr>
    </w:p>
    <w:p w14:paraId="097FFB90" w14:textId="77777777" w:rsidR="00E3542E" w:rsidRPr="006728B9" w:rsidRDefault="00E3542E" w:rsidP="007252FD">
      <w:pPr>
        <w:jc w:val="center"/>
        <w:rPr>
          <w:noProof/>
        </w:rPr>
      </w:pPr>
    </w:p>
    <w:p w14:paraId="0DE289C0" w14:textId="77777777" w:rsidR="00E3542E" w:rsidRPr="006728B9" w:rsidRDefault="00E3542E" w:rsidP="007252FD">
      <w:pPr>
        <w:jc w:val="center"/>
        <w:rPr>
          <w:noProof/>
        </w:rPr>
      </w:pPr>
    </w:p>
    <w:p w14:paraId="46CB3456" w14:textId="77777777" w:rsidR="00E3542E" w:rsidRPr="006728B9" w:rsidRDefault="00E3542E" w:rsidP="007252FD">
      <w:pPr>
        <w:jc w:val="center"/>
        <w:rPr>
          <w:noProof/>
        </w:rPr>
      </w:pPr>
    </w:p>
    <w:p w14:paraId="7CA399CF" w14:textId="57F72BA7" w:rsidR="00E3542E" w:rsidRPr="007A73AB" w:rsidRDefault="00FA7E9E" w:rsidP="007252FD">
      <w:pPr>
        <w:pStyle w:val="Title"/>
        <w:rPr>
          <w:b/>
          <w:lang w:val="en-CA"/>
        </w:rPr>
      </w:pPr>
      <w:r>
        <w:rPr>
          <w:lang w:val="en-CA"/>
        </w:rPr>
        <w:t xml:space="preserve">Updated </w:t>
      </w:r>
      <w:r w:rsidR="00862029">
        <w:rPr>
          <w:lang w:val="en-CA"/>
        </w:rPr>
        <w:t>CIM Definition Standards for Mineral Resources &amp; Mineral Reserves</w:t>
      </w:r>
      <w:r w:rsidR="001151C8">
        <w:rPr>
          <w:lang w:val="en-CA"/>
        </w:rPr>
        <w:t xml:space="preserve"> (</w:t>
      </w:r>
      <w:r w:rsidR="00341FB4">
        <w:rPr>
          <w:lang w:val="en-CA"/>
        </w:rPr>
        <w:t xml:space="preserve">Draft </w:t>
      </w:r>
      <w:r w:rsidR="001151C8">
        <w:rPr>
          <w:lang w:val="en-CA"/>
        </w:rPr>
        <w:t>October 13, 2026</w:t>
      </w:r>
      <w:r w:rsidR="00341FB4">
        <w:rPr>
          <w:lang w:val="en-CA"/>
        </w:rPr>
        <w:t>)</w:t>
      </w:r>
    </w:p>
    <w:p w14:paraId="2B50A0D9" w14:textId="77777777" w:rsidR="00E3542E" w:rsidRDefault="00E3542E" w:rsidP="007252FD">
      <w:pPr>
        <w:pStyle w:val="Subtitle"/>
      </w:pPr>
      <w:r w:rsidRPr="00253CFB">
        <w:rPr>
          <w:noProof/>
          <w:color w:val="365F91" w:themeColor="accent1" w:themeShade="BF"/>
          <w:lang w:val="en-CA" w:bidi="ar-SA"/>
        </w:rPr>
        <mc:AlternateContent>
          <mc:Choice Requires="wps">
            <w:drawing>
              <wp:anchor distT="0" distB="0" distL="114300" distR="114300" simplePos="0" relativeHeight="251659264" behindDoc="0" locked="0" layoutInCell="1" hidden="0" allowOverlap="1" wp14:anchorId="020865EA" wp14:editId="173A85AC">
                <wp:simplePos x="0" y="0"/>
                <wp:positionH relativeFrom="column">
                  <wp:posOffset>254000</wp:posOffset>
                </wp:positionH>
                <wp:positionV relativeFrom="paragraph">
                  <wp:posOffset>139700</wp:posOffset>
                </wp:positionV>
                <wp:extent cx="5958840" cy="28575"/>
                <wp:effectExtent l="19050" t="19050" r="22860" b="28575"/>
                <wp:wrapNone/>
                <wp:docPr id="16" name="Straight Arrow Connector 16"/>
                <wp:cNvGraphicFramePr/>
                <a:graphic xmlns:a="http://schemas.openxmlformats.org/drawingml/2006/main">
                  <a:graphicData uri="http://schemas.microsoft.com/office/word/2010/wordprocessingShape">
                    <wps:wsp>
                      <wps:cNvCnPr/>
                      <wps:spPr>
                        <a:xfrm>
                          <a:off x="2366580" y="3780000"/>
                          <a:ext cx="5958840" cy="0"/>
                        </a:xfrm>
                        <a:prstGeom prst="straightConnector1">
                          <a:avLst/>
                        </a:prstGeom>
                        <a:noFill/>
                        <a:ln w="28575" cap="flat" cmpd="sng">
                          <a:solidFill>
                            <a:schemeClr val="accent1">
                              <a:lumMod val="75000"/>
                            </a:schemeClr>
                          </a:solidFill>
                          <a:prstDash val="solid"/>
                          <a:round/>
                          <a:headEnd type="none" w="sm" len="sm"/>
                          <a:tailEnd type="none" w="sm" len="sm"/>
                        </a:ln>
                      </wps:spPr>
                      <wps:bodyPr/>
                    </wps:wsp>
                  </a:graphicData>
                </a:graphic>
              </wp:anchor>
            </w:drawing>
          </mc:Choice>
          <mc:Fallback>
            <w:pict>
              <v:shapetype w14:anchorId="419FF519" id="_x0000_t32" coordsize="21600,21600" o:spt="32" o:oned="t" path="m,l21600,21600e" filled="f">
                <v:path arrowok="t" fillok="f" o:connecttype="none"/>
                <o:lock v:ext="edit" shapetype="t"/>
              </v:shapetype>
              <v:shape id="Straight Arrow Connector 16" o:spid="_x0000_s1026" type="#_x0000_t32" style="position:absolute;margin-left:20pt;margin-top:11pt;width:469.2pt;height:2.2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ZM33AEAALEDAAAOAAAAZHJzL2Uyb0RvYy54bWysU02P2yAQvVfqf0DcGyfZOvFGcfaQdHvp&#10;x0rt/oBZwDESMAhInPz7Djib9ONQqaoPeGBm3rwZHuuHkzXsqELU6Fo+m0w5U06g1G7f8ufvj+8a&#10;zmICJ8GgUy0/q8gfNm/frAe/UnPs0UgVGIG4uBp8y/uU/KqqouiVhThBrxw5OwwWEm3DvpIBBkK3&#10;pppPp4tqwCB9QKFipNPd6OSbgt91SqSvXRdVYqblxC2VNZT1Ja/VZg2rfQDfa3GhAf/AwoJ2VPQK&#10;tYME7BD0H1BWi4ARuzQRaCvsOi1U6YG6mU1/6+ZbD16VXmg40V/HFP8frPhy3LqnQGMYfFxF/xRy&#10;F6cu2PwnfuzU8vndYlE3NL5zy++WzZS+cXDqlJiggPq+bpr3FCAooviqG4gPMX1UaFk2Wh5TAL3v&#10;0xado+vBMCuDg+OnmIgGJb4mZAYOH7Ux5ZaMYwNxaeplTYWAxNIZSGRaLwnW7QtORKNlzsnZRUZq&#10;awI7AgkAhFAujfXMwX5GOZ4v60tHVPyaUqj8gpZ57SD2Y1JxjWMIeHCycOwVyA9OsnT2JHZHkueZ&#10;dLScGUUPhIwSl0Cbv8cRHeOIx+1qsvWC8lxurJyTLgrTi4az8H7el+zbS9v8AAAA//8DAFBLAwQU&#10;AAYACAAAACEALv8pDt8AAAAIAQAADwAAAGRycy9kb3ducmV2LnhtbEyPT0vEMBDF74LfIYzgRdzE&#10;sv+sTZdFWL0JrqLsLduMbTGZlCbdVj+940lPw8x7vPm9YjN5J07YxzaQhpuZAoFUBdtSreH1ZXe9&#10;BhGTIWtcINTwhRE25flZYXIbRnrG0z7VgkMo5kZDk1KXSxmrBr2Js9AhsfYRem8Sr30tbW9GDvdO&#10;ZkotpTct8YfGdHjfYPW5H7yG97T6Pji1zZ5wd3CL8fFtvBoetL68mLZ3IBJO6c8Mv/iMDiUzHcNA&#10;NgqnYa64StKQZTxZv12t5yCOfFguQJaF/F+g/AEAAP//AwBQSwECLQAUAAYACAAAACEAtoM4kv4A&#10;AADhAQAAEwAAAAAAAAAAAAAAAAAAAAAAW0NvbnRlbnRfVHlwZXNdLnhtbFBLAQItABQABgAIAAAA&#10;IQA4/SH/1gAAAJQBAAALAAAAAAAAAAAAAAAAAC8BAABfcmVscy8ucmVsc1BLAQItABQABgAIAAAA&#10;IQAAtZM33AEAALEDAAAOAAAAAAAAAAAAAAAAAC4CAABkcnMvZTJvRG9jLnhtbFBLAQItABQABgAI&#10;AAAAIQAu/ykO3wAAAAgBAAAPAAAAAAAAAAAAAAAAADYEAABkcnMvZG93bnJldi54bWxQSwUGAAAA&#10;AAQABADzAAAAQgUAAAAA&#10;" strokecolor="#365f91 [2404]" strokeweight="2.25pt">
                <v:stroke startarrowwidth="narrow" startarrowlength="short" endarrowwidth="narrow" endarrowlength="short"/>
              </v:shape>
            </w:pict>
          </mc:Fallback>
        </mc:AlternateContent>
      </w:r>
    </w:p>
    <w:p w14:paraId="4F37680B" w14:textId="77777777" w:rsidR="00E3542E" w:rsidRDefault="00E3542E" w:rsidP="007252FD">
      <w:pPr>
        <w:pStyle w:val="Subtitle"/>
        <w:rPr>
          <w:rFonts w:ascii="Times New Roman" w:eastAsia="Times New Roman" w:hAnsi="Times New Roman" w:cs="Times New Roman"/>
        </w:rPr>
      </w:pPr>
      <w:r>
        <w:rPr>
          <w:rFonts w:ascii="Times New Roman" w:eastAsia="Times New Roman" w:hAnsi="Times New Roman" w:cs="Times New Roman"/>
        </w:rPr>
        <w:t>Prepared by the</w:t>
      </w:r>
    </w:p>
    <w:p w14:paraId="1B9F4537" w14:textId="77777777" w:rsidR="00E3542E" w:rsidRDefault="00E3542E" w:rsidP="007252FD">
      <w:pPr>
        <w:pStyle w:val="Subtitle"/>
        <w:rPr>
          <w:rFonts w:ascii="Times New Roman" w:eastAsia="Times New Roman" w:hAnsi="Times New Roman" w:cs="Times New Roman"/>
        </w:rPr>
      </w:pPr>
      <w:r>
        <w:rPr>
          <w:rFonts w:ascii="Times New Roman" w:eastAsia="Times New Roman" w:hAnsi="Times New Roman" w:cs="Times New Roman"/>
        </w:rPr>
        <w:t xml:space="preserve">CIM </w:t>
      </w:r>
      <w:r w:rsidR="00C95054">
        <w:rPr>
          <w:rFonts w:ascii="Times New Roman" w:eastAsia="Times New Roman" w:hAnsi="Times New Roman" w:cs="Times New Roman"/>
        </w:rPr>
        <w:t>Mineral Resource</w:t>
      </w:r>
      <w:r w:rsidR="00D12011">
        <w:rPr>
          <w:rFonts w:ascii="Times New Roman" w:eastAsia="Times New Roman" w:hAnsi="Times New Roman" w:cs="Times New Roman"/>
        </w:rPr>
        <w:t>s</w:t>
      </w:r>
      <w:r w:rsidR="00C95054">
        <w:rPr>
          <w:rFonts w:ascii="Times New Roman" w:eastAsia="Times New Roman" w:hAnsi="Times New Roman" w:cs="Times New Roman"/>
        </w:rPr>
        <w:t xml:space="preserve"> </w:t>
      </w:r>
      <w:r w:rsidR="001444B7">
        <w:rPr>
          <w:rFonts w:ascii="Times New Roman" w:eastAsia="Times New Roman" w:hAnsi="Times New Roman" w:cs="Times New Roman"/>
        </w:rPr>
        <w:t xml:space="preserve">and </w:t>
      </w:r>
      <w:r w:rsidR="00C95054">
        <w:rPr>
          <w:rFonts w:ascii="Times New Roman" w:eastAsia="Times New Roman" w:hAnsi="Times New Roman" w:cs="Times New Roman"/>
        </w:rPr>
        <w:t>Mineral Reserve</w:t>
      </w:r>
      <w:r w:rsidR="00D12011">
        <w:rPr>
          <w:rFonts w:ascii="Times New Roman" w:eastAsia="Times New Roman" w:hAnsi="Times New Roman" w:cs="Times New Roman"/>
        </w:rPr>
        <w:t>s</w:t>
      </w:r>
      <w:r w:rsidR="00C95054">
        <w:rPr>
          <w:rFonts w:ascii="Times New Roman" w:eastAsia="Times New Roman" w:hAnsi="Times New Roman" w:cs="Times New Roman"/>
        </w:rPr>
        <w:t xml:space="preserve"> Committee</w:t>
      </w:r>
      <w:r w:rsidR="001444B7">
        <w:rPr>
          <w:rFonts w:ascii="Times New Roman" w:eastAsia="Times New Roman" w:hAnsi="Times New Roman" w:cs="Times New Roman"/>
        </w:rPr>
        <w:t xml:space="preserve"> </w:t>
      </w:r>
    </w:p>
    <w:p w14:paraId="50F677B9" w14:textId="77777777" w:rsidR="00E3542E" w:rsidRDefault="00E3542E" w:rsidP="007252FD"/>
    <w:p w14:paraId="1A5BDBB0" w14:textId="77777777" w:rsidR="00E3542E" w:rsidRDefault="00E3542E" w:rsidP="007252FD">
      <w:pPr>
        <w:tabs>
          <w:tab w:val="left" w:pos="6795"/>
        </w:tabs>
      </w:pPr>
      <w:r>
        <w:tab/>
      </w:r>
    </w:p>
    <w:p w14:paraId="51079C7E" w14:textId="77777777" w:rsidR="00E3542E" w:rsidRDefault="00E3542E" w:rsidP="007252FD"/>
    <w:p w14:paraId="2C0B7866" w14:textId="77777777" w:rsidR="00E3542E" w:rsidRDefault="00E3542E" w:rsidP="007252FD"/>
    <w:p w14:paraId="4F16A6BD" w14:textId="77777777" w:rsidR="00E3542E" w:rsidRDefault="00E3542E" w:rsidP="007252FD"/>
    <w:p w14:paraId="330777A7" w14:textId="77777777" w:rsidR="00E3542E" w:rsidRDefault="00E3542E" w:rsidP="007252FD"/>
    <w:p w14:paraId="40861716" w14:textId="77777777" w:rsidR="00E3542E" w:rsidRDefault="00E3542E" w:rsidP="007252FD"/>
    <w:p w14:paraId="73308387" w14:textId="77777777" w:rsidR="00E3542E" w:rsidRDefault="00E3542E" w:rsidP="007252FD"/>
    <w:p w14:paraId="65E3EAFD" w14:textId="77777777" w:rsidR="00FA7E9E" w:rsidRDefault="00FA7E9E" w:rsidP="007252FD"/>
    <w:p w14:paraId="636018F5" w14:textId="77777777" w:rsidR="00FA7E9E" w:rsidRDefault="00FA7E9E" w:rsidP="007252FD"/>
    <w:p w14:paraId="3AFAF2A3" w14:textId="77777777" w:rsidR="00FA7E9E" w:rsidRDefault="00FA7E9E" w:rsidP="007252FD"/>
    <w:p w14:paraId="20E442A0" w14:textId="77777777" w:rsidR="00FA7E9E" w:rsidRDefault="00FA7E9E" w:rsidP="007252FD"/>
    <w:p w14:paraId="7F27CFD6" w14:textId="77777777" w:rsidR="00FA7E9E" w:rsidRDefault="00FA7E9E" w:rsidP="007252FD"/>
    <w:p w14:paraId="5824B2E6" w14:textId="77777777" w:rsidR="00FA7E9E" w:rsidRDefault="00FA7E9E" w:rsidP="007252FD"/>
    <w:p w14:paraId="1D1031E8" w14:textId="77777777" w:rsidR="00FA7E9E" w:rsidRDefault="00FA7E9E" w:rsidP="007252FD"/>
    <w:p w14:paraId="53B925E1" w14:textId="77777777" w:rsidR="00FA7E9E" w:rsidRDefault="00FA7E9E" w:rsidP="007252FD"/>
    <w:p w14:paraId="1AA7F974" w14:textId="77777777" w:rsidR="00FA7E9E" w:rsidRDefault="00FA7E9E" w:rsidP="00FA7E9E">
      <w:pPr>
        <w:pStyle w:val="Subtitle"/>
        <w:rPr>
          <w:b/>
          <w:color w:val="404040"/>
          <w:sz w:val="22"/>
          <w:szCs w:val="22"/>
        </w:rPr>
      </w:pPr>
    </w:p>
    <w:p w14:paraId="3919A49E" w14:textId="77777777" w:rsidR="00FA7E9E" w:rsidRPr="00253CFB" w:rsidRDefault="00FA7E9E" w:rsidP="00FA7E9E">
      <w:pPr>
        <w:pStyle w:val="Subtitle"/>
        <w:rPr>
          <w:rFonts w:ascii="Times New Roman" w:hAnsi="Times New Roman" w:cs="Times New Roman"/>
          <w:b/>
          <w:color w:val="404040"/>
          <w:sz w:val="22"/>
          <w:szCs w:val="22"/>
        </w:rPr>
      </w:pPr>
      <w:r w:rsidRPr="00253CFB">
        <w:rPr>
          <w:rFonts w:ascii="Times New Roman" w:hAnsi="Times New Roman" w:cs="Times New Roman"/>
          <w:b/>
          <w:color w:val="404040"/>
          <w:sz w:val="22"/>
          <w:szCs w:val="22"/>
        </w:rPr>
        <w:t>Canadian Institute of Mining, Metallurgy and Petroleum</w:t>
      </w:r>
    </w:p>
    <w:p w14:paraId="27CD1432" w14:textId="77777777" w:rsidR="00FA7E9E" w:rsidRPr="00253CFB" w:rsidRDefault="00FA7E9E" w:rsidP="00FA7E9E">
      <w:pPr>
        <w:pStyle w:val="Subtitle"/>
        <w:rPr>
          <w:rFonts w:ascii="Times New Roman" w:hAnsi="Times New Roman" w:cs="Times New Roman"/>
          <w:color w:val="404040"/>
          <w:sz w:val="20"/>
          <w:szCs w:val="20"/>
        </w:rPr>
      </w:pPr>
      <w:bookmarkStart w:id="0" w:name="_heading=h.rid7s5exjcwm" w:colFirst="0" w:colLast="0"/>
      <w:bookmarkEnd w:id="0"/>
      <w:r w:rsidRPr="00253CFB">
        <w:rPr>
          <w:rFonts w:ascii="Times New Roman" w:hAnsi="Times New Roman" w:cs="Times New Roman"/>
          <w:color w:val="404040"/>
          <w:sz w:val="20"/>
          <w:szCs w:val="20"/>
        </w:rPr>
        <w:t>Suite 1040, 3500 de Maisonneuve Blvd. West</w:t>
      </w:r>
      <w:r w:rsidRPr="00253CFB">
        <w:rPr>
          <w:rFonts w:ascii="Times New Roman" w:hAnsi="Times New Roman" w:cs="Times New Roman"/>
          <w:color w:val="404040"/>
          <w:sz w:val="20"/>
          <w:szCs w:val="20"/>
        </w:rPr>
        <w:br/>
        <w:t>Westmount, Quebec H3Z 3C1 CANADA</w:t>
      </w:r>
      <w:r w:rsidRPr="00253CFB">
        <w:rPr>
          <w:rFonts w:ascii="Times New Roman" w:hAnsi="Times New Roman" w:cs="Times New Roman"/>
          <w:color w:val="404040"/>
          <w:sz w:val="20"/>
          <w:szCs w:val="20"/>
        </w:rPr>
        <w:br/>
        <w:t xml:space="preserve">Tel.: (514) 939-2710 </w:t>
      </w:r>
    </w:p>
    <w:bookmarkStart w:id="1" w:name="_heading=h.bcwxn3f3n6ia" w:colFirst="0" w:colLast="0"/>
    <w:bookmarkEnd w:id="1"/>
    <w:p w14:paraId="2732B866" w14:textId="00EEF9F7" w:rsidR="00E3542E" w:rsidRPr="00FA7E9E" w:rsidRDefault="00FA7E9E" w:rsidP="00FA7E9E">
      <w:pPr>
        <w:pStyle w:val="Subtitle"/>
        <w:rPr>
          <w:rFonts w:ascii="Times New Roman" w:hAnsi="Times New Roman" w:cs="Times New Roman"/>
          <w:color w:val="365F91" w:themeColor="accent1" w:themeShade="BF"/>
          <w:sz w:val="22"/>
          <w:szCs w:val="22"/>
        </w:rPr>
      </w:pPr>
      <w:r w:rsidRPr="00253CFB">
        <w:rPr>
          <w:rFonts w:ascii="Times New Roman" w:hAnsi="Times New Roman" w:cs="Times New Roman"/>
          <w:color w:val="365F91" w:themeColor="accent1" w:themeShade="BF"/>
        </w:rPr>
        <w:fldChar w:fldCharType="begin"/>
      </w:r>
      <w:r w:rsidRPr="00253CFB">
        <w:rPr>
          <w:rFonts w:ascii="Times New Roman" w:hAnsi="Times New Roman" w:cs="Times New Roman"/>
          <w:color w:val="365F91" w:themeColor="accent1" w:themeShade="BF"/>
        </w:rPr>
        <w:instrText xml:space="preserve"> HYPERLINK "https://mrmr.cim.org/en/" \h </w:instrText>
      </w:r>
      <w:r w:rsidRPr="00253CFB">
        <w:rPr>
          <w:rFonts w:ascii="Times New Roman" w:hAnsi="Times New Roman" w:cs="Times New Roman"/>
          <w:color w:val="365F91" w:themeColor="accent1" w:themeShade="BF"/>
        </w:rPr>
      </w:r>
      <w:r w:rsidRPr="00253CFB">
        <w:rPr>
          <w:rFonts w:ascii="Times New Roman" w:hAnsi="Times New Roman" w:cs="Times New Roman"/>
          <w:color w:val="365F91" w:themeColor="accent1" w:themeShade="BF"/>
        </w:rPr>
        <w:fldChar w:fldCharType="separate"/>
      </w:r>
      <w:r w:rsidRPr="00253CFB">
        <w:rPr>
          <w:rFonts w:ascii="Times New Roman" w:hAnsi="Times New Roman" w:cs="Times New Roman"/>
          <w:color w:val="365F91" w:themeColor="accent1" w:themeShade="BF"/>
          <w:sz w:val="22"/>
          <w:szCs w:val="22"/>
        </w:rPr>
        <w:t>mrmr.cim.org</w:t>
      </w:r>
      <w:r w:rsidRPr="00253CFB">
        <w:rPr>
          <w:rFonts w:ascii="Times New Roman" w:hAnsi="Times New Roman" w:cs="Times New Roman"/>
          <w:color w:val="365F91" w:themeColor="accent1" w:themeShade="BF"/>
          <w:sz w:val="22"/>
          <w:szCs w:val="22"/>
        </w:rPr>
        <w:fldChar w:fldCharType="end"/>
      </w:r>
      <w:r w:rsidRPr="00253CFB">
        <w:rPr>
          <w:rFonts w:ascii="Times New Roman" w:hAnsi="Times New Roman" w:cs="Times New Roman"/>
          <w:color w:val="365F91" w:themeColor="accent1" w:themeShade="BF"/>
          <w:sz w:val="20"/>
          <w:szCs w:val="20"/>
        </w:rPr>
        <w:t xml:space="preserve"> | </w:t>
      </w:r>
      <w:hyperlink r:id="rId12">
        <w:r w:rsidRPr="00253CFB">
          <w:rPr>
            <w:rFonts w:ascii="Times New Roman" w:hAnsi="Times New Roman" w:cs="Times New Roman"/>
            <w:color w:val="365F91" w:themeColor="accent1" w:themeShade="BF"/>
            <w:sz w:val="22"/>
            <w:szCs w:val="22"/>
          </w:rPr>
          <w:t>www.cim.org</w:t>
        </w:r>
      </w:hyperlink>
    </w:p>
    <w:p w14:paraId="1D3A9BF3" w14:textId="77777777" w:rsidR="00100CD8" w:rsidRDefault="00862029">
      <w:pPr>
        <w:keepNext/>
        <w:pageBreakBefore/>
        <w:spacing w:after="240"/>
      </w:pPr>
      <w:r>
        <w:rPr>
          <w:b/>
          <w:color w:val="365F91"/>
          <w:sz w:val="36"/>
          <w:szCs w:val="36"/>
        </w:rPr>
        <w:lastRenderedPageBreak/>
        <w:t>Contents</w:t>
      </w:r>
    </w:p>
    <w:sdt>
      <w:sdtPr>
        <w:id w:val="-626698439"/>
        <w:docPartObj>
          <w:docPartGallery w:val="Table of Contents"/>
          <w:docPartUnique/>
        </w:docPartObj>
      </w:sdtPr>
      <w:sdtEndPr/>
      <w:sdtContent>
        <w:p w14:paraId="315CB254" w14:textId="4BE82085" w:rsidR="00FA7E9E" w:rsidRDefault="00862029">
          <w:pPr>
            <w:pStyle w:val="TOC1"/>
            <w:tabs>
              <w:tab w:val="right" w:leader="dot" w:pos="9811"/>
            </w:tabs>
            <w:rPr>
              <w:rFonts w:asciiTheme="minorHAnsi" w:eastAsiaTheme="minorEastAsia" w:hAnsiTheme="minorHAnsi" w:cstheme="minorBidi"/>
              <w:noProof/>
              <w:kern w:val="2"/>
              <w:sz w:val="24"/>
              <w:szCs w:val="24"/>
              <w:lang w:val="en-CA" w:bidi="ar-SA"/>
              <w14:ligatures w14:val="standardContextual"/>
            </w:rPr>
          </w:pPr>
          <w:r>
            <w:fldChar w:fldCharType="begin"/>
          </w:r>
          <w:r>
            <w:instrText xml:space="preserve">TOC \o "1-2" \h \z \u </w:instrText>
          </w:r>
          <w:r>
            <w:fldChar w:fldCharType="separate"/>
          </w:r>
          <w:hyperlink w:anchor="_Toc244107620" w:history="1">
            <w:r w:rsidR="00FA7E9E" w:rsidRPr="00E277E1">
              <w:rPr>
                <w:rStyle w:val="Hyperlink"/>
                <w:noProof/>
              </w:rPr>
              <w:t>Foreword</w:t>
            </w:r>
            <w:r w:rsidR="00FA7E9E">
              <w:rPr>
                <w:noProof/>
                <w:webHidden/>
              </w:rPr>
              <w:tab/>
            </w:r>
            <w:r w:rsidR="00FA7E9E">
              <w:rPr>
                <w:noProof/>
                <w:webHidden/>
              </w:rPr>
              <w:fldChar w:fldCharType="begin"/>
            </w:r>
            <w:r w:rsidR="00FA7E9E">
              <w:rPr>
                <w:noProof/>
                <w:webHidden/>
              </w:rPr>
              <w:instrText xml:space="preserve"> PAGEREF _Toc244107620 \h </w:instrText>
            </w:r>
            <w:r w:rsidR="00FA7E9E">
              <w:rPr>
                <w:noProof/>
                <w:webHidden/>
              </w:rPr>
            </w:r>
            <w:r w:rsidR="00FA7E9E">
              <w:rPr>
                <w:noProof/>
                <w:webHidden/>
              </w:rPr>
              <w:fldChar w:fldCharType="separate"/>
            </w:r>
            <w:r w:rsidR="00FA7E9E">
              <w:rPr>
                <w:noProof/>
                <w:webHidden/>
              </w:rPr>
              <w:t>2</w:t>
            </w:r>
            <w:r w:rsidR="00FA7E9E">
              <w:rPr>
                <w:noProof/>
                <w:webHidden/>
              </w:rPr>
              <w:fldChar w:fldCharType="end"/>
            </w:r>
          </w:hyperlink>
        </w:p>
        <w:p w14:paraId="4C321602" w14:textId="2C199D61" w:rsidR="00FA7E9E" w:rsidRDefault="00FA7E9E">
          <w:pPr>
            <w:pStyle w:val="TOC1"/>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21" w:history="1">
            <w:r w:rsidRPr="00E277E1">
              <w:rPr>
                <w:rStyle w:val="Hyperlink"/>
                <w:noProof/>
              </w:rPr>
              <w:t>CIM Definition Standards</w:t>
            </w:r>
            <w:r>
              <w:rPr>
                <w:noProof/>
                <w:webHidden/>
              </w:rPr>
              <w:tab/>
            </w:r>
            <w:r>
              <w:rPr>
                <w:noProof/>
                <w:webHidden/>
              </w:rPr>
              <w:fldChar w:fldCharType="begin"/>
            </w:r>
            <w:r>
              <w:rPr>
                <w:noProof/>
                <w:webHidden/>
              </w:rPr>
              <w:instrText xml:space="preserve"> PAGEREF _Toc244107621 \h </w:instrText>
            </w:r>
            <w:r>
              <w:rPr>
                <w:noProof/>
                <w:webHidden/>
              </w:rPr>
            </w:r>
            <w:r>
              <w:rPr>
                <w:noProof/>
                <w:webHidden/>
              </w:rPr>
              <w:fldChar w:fldCharType="separate"/>
            </w:r>
            <w:r>
              <w:rPr>
                <w:noProof/>
                <w:webHidden/>
              </w:rPr>
              <w:t>2</w:t>
            </w:r>
            <w:r>
              <w:rPr>
                <w:noProof/>
                <w:webHidden/>
              </w:rPr>
              <w:fldChar w:fldCharType="end"/>
            </w:r>
          </w:hyperlink>
        </w:p>
        <w:p w14:paraId="38832E3B" w14:textId="2C9DFC46" w:rsidR="00FA7E9E" w:rsidRDefault="00FA7E9E">
          <w:pPr>
            <w:pStyle w:val="TOC1"/>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22" w:history="1">
            <w:r w:rsidRPr="00E277E1">
              <w:rPr>
                <w:rStyle w:val="Hyperlink"/>
                <w:noProof/>
              </w:rPr>
              <w:t>Definitions</w:t>
            </w:r>
            <w:r>
              <w:rPr>
                <w:noProof/>
                <w:webHidden/>
              </w:rPr>
              <w:tab/>
            </w:r>
            <w:r>
              <w:rPr>
                <w:noProof/>
                <w:webHidden/>
              </w:rPr>
              <w:fldChar w:fldCharType="begin"/>
            </w:r>
            <w:r>
              <w:rPr>
                <w:noProof/>
                <w:webHidden/>
              </w:rPr>
              <w:instrText xml:space="preserve"> PAGEREF _Toc244107622 \h </w:instrText>
            </w:r>
            <w:r>
              <w:rPr>
                <w:noProof/>
                <w:webHidden/>
              </w:rPr>
            </w:r>
            <w:r>
              <w:rPr>
                <w:noProof/>
                <w:webHidden/>
              </w:rPr>
              <w:fldChar w:fldCharType="separate"/>
            </w:r>
            <w:r>
              <w:rPr>
                <w:noProof/>
                <w:webHidden/>
              </w:rPr>
              <w:t>2</w:t>
            </w:r>
            <w:r>
              <w:rPr>
                <w:noProof/>
                <w:webHidden/>
              </w:rPr>
              <w:fldChar w:fldCharType="end"/>
            </w:r>
          </w:hyperlink>
        </w:p>
        <w:p w14:paraId="1B916FAB" w14:textId="14934DC8" w:rsidR="00FA7E9E" w:rsidRDefault="00FA7E9E">
          <w:pPr>
            <w:pStyle w:val="TOC2"/>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23" w:history="1">
            <w:r w:rsidRPr="00E277E1">
              <w:rPr>
                <w:rStyle w:val="Hyperlink"/>
                <w:noProof/>
              </w:rPr>
              <w:t>Exploration Target</w:t>
            </w:r>
            <w:r>
              <w:rPr>
                <w:noProof/>
                <w:webHidden/>
              </w:rPr>
              <w:tab/>
            </w:r>
            <w:r>
              <w:rPr>
                <w:noProof/>
                <w:webHidden/>
              </w:rPr>
              <w:fldChar w:fldCharType="begin"/>
            </w:r>
            <w:r>
              <w:rPr>
                <w:noProof/>
                <w:webHidden/>
              </w:rPr>
              <w:instrText xml:space="preserve"> PAGEREF _Toc244107623 \h </w:instrText>
            </w:r>
            <w:r>
              <w:rPr>
                <w:noProof/>
                <w:webHidden/>
              </w:rPr>
            </w:r>
            <w:r>
              <w:rPr>
                <w:noProof/>
                <w:webHidden/>
              </w:rPr>
              <w:fldChar w:fldCharType="separate"/>
            </w:r>
            <w:r>
              <w:rPr>
                <w:noProof/>
                <w:webHidden/>
              </w:rPr>
              <w:t>2</w:t>
            </w:r>
            <w:r>
              <w:rPr>
                <w:noProof/>
                <w:webHidden/>
              </w:rPr>
              <w:fldChar w:fldCharType="end"/>
            </w:r>
          </w:hyperlink>
        </w:p>
        <w:p w14:paraId="3575AB9E" w14:textId="2AEE0BC4" w:rsidR="00FA7E9E" w:rsidRDefault="00FA7E9E">
          <w:pPr>
            <w:pStyle w:val="TOC2"/>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24" w:history="1">
            <w:r w:rsidRPr="00E277E1">
              <w:rPr>
                <w:rStyle w:val="Hyperlink"/>
                <w:noProof/>
              </w:rPr>
              <w:t>Scoping Study</w:t>
            </w:r>
            <w:r>
              <w:rPr>
                <w:noProof/>
                <w:webHidden/>
              </w:rPr>
              <w:tab/>
            </w:r>
            <w:r>
              <w:rPr>
                <w:noProof/>
                <w:webHidden/>
              </w:rPr>
              <w:fldChar w:fldCharType="begin"/>
            </w:r>
            <w:r>
              <w:rPr>
                <w:noProof/>
                <w:webHidden/>
              </w:rPr>
              <w:instrText xml:space="preserve"> PAGEREF _Toc244107624 \h </w:instrText>
            </w:r>
            <w:r>
              <w:rPr>
                <w:noProof/>
                <w:webHidden/>
              </w:rPr>
            </w:r>
            <w:r>
              <w:rPr>
                <w:noProof/>
                <w:webHidden/>
              </w:rPr>
              <w:fldChar w:fldCharType="separate"/>
            </w:r>
            <w:r>
              <w:rPr>
                <w:noProof/>
                <w:webHidden/>
              </w:rPr>
              <w:t>2</w:t>
            </w:r>
            <w:r>
              <w:rPr>
                <w:noProof/>
                <w:webHidden/>
              </w:rPr>
              <w:fldChar w:fldCharType="end"/>
            </w:r>
          </w:hyperlink>
        </w:p>
        <w:p w14:paraId="7E45A496" w14:textId="61ECFD30" w:rsidR="00FA7E9E" w:rsidRDefault="00FA7E9E">
          <w:pPr>
            <w:pStyle w:val="TOC2"/>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25" w:history="1">
            <w:r w:rsidRPr="00E277E1">
              <w:rPr>
                <w:rStyle w:val="Hyperlink"/>
                <w:noProof/>
              </w:rPr>
              <w:t>Pre-Feasibility Study (Preliminary Feasibility Study)</w:t>
            </w:r>
            <w:r>
              <w:rPr>
                <w:noProof/>
                <w:webHidden/>
              </w:rPr>
              <w:tab/>
            </w:r>
            <w:r>
              <w:rPr>
                <w:noProof/>
                <w:webHidden/>
              </w:rPr>
              <w:fldChar w:fldCharType="begin"/>
            </w:r>
            <w:r>
              <w:rPr>
                <w:noProof/>
                <w:webHidden/>
              </w:rPr>
              <w:instrText xml:space="preserve"> PAGEREF _Toc244107625 \h </w:instrText>
            </w:r>
            <w:r>
              <w:rPr>
                <w:noProof/>
                <w:webHidden/>
              </w:rPr>
            </w:r>
            <w:r>
              <w:rPr>
                <w:noProof/>
                <w:webHidden/>
              </w:rPr>
              <w:fldChar w:fldCharType="separate"/>
            </w:r>
            <w:r>
              <w:rPr>
                <w:noProof/>
                <w:webHidden/>
              </w:rPr>
              <w:t>3</w:t>
            </w:r>
            <w:r>
              <w:rPr>
                <w:noProof/>
                <w:webHidden/>
              </w:rPr>
              <w:fldChar w:fldCharType="end"/>
            </w:r>
          </w:hyperlink>
        </w:p>
        <w:p w14:paraId="50C806AD" w14:textId="0C77A472" w:rsidR="00FA7E9E" w:rsidRDefault="00FA7E9E">
          <w:pPr>
            <w:pStyle w:val="TOC2"/>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26" w:history="1">
            <w:r w:rsidRPr="00E277E1">
              <w:rPr>
                <w:rStyle w:val="Hyperlink"/>
                <w:noProof/>
              </w:rPr>
              <w:t>Feasibility Study</w:t>
            </w:r>
            <w:r>
              <w:rPr>
                <w:noProof/>
                <w:webHidden/>
              </w:rPr>
              <w:tab/>
            </w:r>
            <w:r>
              <w:rPr>
                <w:noProof/>
                <w:webHidden/>
              </w:rPr>
              <w:fldChar w:fldCharType="begin"/>
            </w:r>
            <w:r>
              <w:rPr>
                <w:noProof/>
                <w:webHidden/>
              </w:rPr>
              <w:instrText xml:space="preserve"> PAGEREF _Toc244107626 \h </w:instrText>
            </w:r>
            <w:r>
              <w:rPr>
                <w:noProof/>
                <w:webHidden/>
              </w:rPr>
            </w:r>
            <w:r>
              <w:rPr>
                <w:noProof/>
                <w:webHidden/>
              </w:rPr>
              <w:fldChar w:fldCharType="separate"/>
            </w:r>
            <w:r>
              <w:rPr>
                <w:noProof/>
                <w:webHidden/>
              </w:rPr>
              <w:t>3</w:t>
            </w:r>
            <w:r>
              <w:rPr>
                <w:noProof/>
                <w:webHidden/>
              </w:rPr>
              <w:fldChar w:fldCharType="end"/>
            </w:r>
          </w:hyperlink>
        </w:p>
        <w:p w14:paraId="24B5022D" w14:textId="5A63EC1F" w:rsidR="00FA7E9E" w:rsidRDefault="00FA7E9E">
          <w:pPr>
            <w:pStyle w:val="TOC2"/>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27" w:history="1">
            <w:r w:rsidRPr="00E277E1">
              <w:rPr>
                <w:rStyle w:val="Hyperlink"/>
                <w:noProof/>
              </w:rPr>
              <w:t>Life of Mine Plan</w:t>
            </w:r>
            <w:r>
              <w:rPr>
                <w:noProof/>
                <w:webHidden/>
              </w:rPr>
              <w:tab/>
            </w:r>
            <w:r>
              <w:rPr>
                <w:noProof/>
                <w:webHidden/>
              </w:rPr>
              <w:fldChar w:fldCharType="begin"/>
            </w:r>
            <w:r>
              <w:rPr>
                <w:noProof/>
                <w:webHidden/>
              </w:rPr>
              <w:instrText xml:space="preserve"> PAGEREF _Toc244107627 \h </w:instrText>
            </w:r>
            <w:r>
              <w:rPr>
                <w:noProof/>
                <w:webHidden/>
              </w:rPr>
            </w:r>
            <w:r>
              <w:rPr>
                <w:noProof/>
                <w:webHidden/>
              </w:rPr>
              <w:fldChar w:fldCharType="separate"/>
            </w:r>
            <w:r>
              <w:rPr>
                <w:noProof/>
                <w:webHidden/>
              </w:rPr>
              <w:t>3</w:t>
            </w:r>
            <w:r>
              <w:rPr>
                <w:noProof/>
                <w:webHidden/>
              </w:rPr>
              <w:fldChar w:fldCharType="end"/>
            </w:r>
          </w:hyperlink>
        </w:p>
        <w:p w14:paraId="4F213E55" w14:textId="5AF06660" w:rsidR="00FA7E9E" w:rsidRDefault="00FA7E9E">
          <w:pPr>
            <w:pStyle w:val="TOC2"/>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28" w:history="1">
            <w:r w:rsidRPr="00E277E1">
              <w:rPr>
                <w:rStyle w:val="Hyperlink"/>
                <w:noProof/>
              </w:rPr>
              <w:t>Mineral Resource</w:t>
            </w:r>
            <w:r>
              <w:rPr>
                <w:noProof/>
                <w:webHidden/>
              </w:rPr>
              <w:tab/>
            </w:r>
            <w:r>
              <w:rPr>
                <w:noProof/>
                <w:webHidden/>
              </w:rPr>
              <w:fldChar w:fldCharType="begin"/>
            </w:r>
            <w:r>
              <w:rPr>
                <w:noProof/>
                <w:webHidden/>
              </w:rPr>
              <w:instrText xml:space="preserve"> PAGEREF _Toc244107628 \h </w:instrText>
            </w:r>
            <w:r>
              <w:rPr>
                <w:noProof/>
                <w:webHidden/>
              </w:rPr>
            </w:r>
            <w:r>
              <w:rPr>
                <w:noProof/>
                <w:webHidden/>
              </w:rPr>
              <w:fldChar w:fldCharType="separate"/>
            </w:r>
            <w:r>
              <w:rPr>
                <w:noProof/>
                <w:webHidden/>
              </w:rPr>
              <w:t>4</w:t>
            </w:r>
            <w:r>
              <w:rPr>
                <w:noProof/>
                <w:webHidden/>
              </w:rPr>
              <w:fldChar w:fldCharType="end"/>
            </w:r>
          </w:hyperlink>
        </w:p>
        <w:p w14:paraId="49610F61" w14:textId="7C2E12B3" w:rsidR="00FA7E9E" w:rsidRDefault="00FA7E9E">
          <w:pPr>
            <w:pStyle w:val="TOC2"/>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29" w:history="1">
            <w:r w:rsidRPr="00E277E1">
              <w:rPr>
                <w:rStyle w:val="Hyperlink"/>
                <w:noProof/>
              </w:rPr>
              <w:t>Inferred Mineral Resource</w:t>
            </w:r>
            <w:r>
              <w:rPr>
                <w:noProof/>
                <w:webHidden/>
              </w:rPr>
              <w:tab/>
            </w:r>
            <w:r>
              <w:rPr>
                <w:noProof/>
                <w:webHidden/>
              </w:rPr>
              <w:fldChar w:fldCharType="begin"/>
            </w:r>
            <w:r>
              <w:rPr>
                <w:noProof/>
                <w:webHidden/>
              </w:rPr>
              <w:instrText xml:space="preserve"> PAGEREF _Toc244107629 \h </w:instrText>
            </w:r>
            <w:r>
              <w:rPr>
                <w:noProof/>
                <w:webHidden/>
              </w:rPr>
            </w:r>
            <w:r>
              <w:rPr>
                <w:noProof/>
                <w:webHidden/>
              </w:rPr>
              <w:fldChar w:fldCharType="separate"/>
            </w:r>
            <w:r>
              <w:rPr>
                <w:noProof/>
                <w:webHidden/>
              </w:rPr>
              <w:t>4</w:t>
            </w:r>
            <w:r>
              <w:rPr>
                <w:noProof/>
                <w:webHidden/>
              </w:rPr>
              <w:fldChar w:fldCharType="end"/>
            </w:r>
          </w:hyperlink>
        </w:p>
        <w:p w14:paraId="2B97E78A" w14:textId="52473E56" w:rsidR="00FA7E9E" w:rsidRDefault="00FA7E9E">
          <w:pPr>
            <w:pStyle w:val="TOC2"/>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30" w:history="1">
            <w:r w:rsidRPr="00E277E1">
              <w:rPr>
                <w:rStyle w:val="Hyperlink"/>
                <w:noProof/>
              </w:rPr>
              <w:t>Indicated Mineral Resource</w:t>
            </w:r>
            <w:r>
              <w:rPr>
                <w:noProof/>
                <w:webHidden/>
              </w:rPr>
              <w:tab/>
            </w:r>
            <w:r>
              <w:rPr>
                <w:noProof/>
                <w:webHidden/>
              </w:rPr>
              <w:fldChar w:fldCharType="begin"/>
            </w:r>
            <w:r>
              <w:rPr>
                <w:noProof/>
                <w:webHidden/>
              </w:rPr>
              <w:instrText xml:space="preserve"> PAGEREF _Toc244107630 \h </w:instrText>
            </w:r>
            <w:r>
              <w:rPr>
                <w:noProof/>
                <w:webHidden/>
              </w:rPr>
            </w:r>
            <w:r>
              <w:rPr>
                <w:noProof/>
                <w:webHidden/>
              </w:rPr>
              <w:fldChar w:fldCharType="separate"/>
            </w:r>
            <w:r>
              <w:rPr>
                <w:noProof/>
                <w:webHidden/>
              </w:rPr>
              <w:t>5</w:t>
            </w:r>
            <w:r>
              <w:rPr>
                <w:noProof/>
                <w:webHidden/>
              </w:rPr>
              <w:fldChar w:fldCharType="end"/>
            </w:r>
          </w:hyperlink>
        </w:p>
        <w:p w14:paraId="7D9A50CD" w14:textId="3BB71C95" w:rsidR="00FA7E9E" w:rsidRDefault="00FA7E9E">
          <w:pPr>
            <w:pStyle w:val="TOC2"/>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31" w:history="1">
            <w:r w:rsidRPr="00E277E1">
              <w:rPr>
                <w:rStyle w:val="Hyperlink"/>
                <w:noProof/>
              </w:rPr>
              <w:t>Measured Mineral Resource</w:t>
            </w:r>
            <w:r>
              <w:rPr>
                <w:noProof/>
                <w:webHidden/>
              </w:rPr>
              <w:tab/>
            </w:r>
            <w:r>
              <w:rPr>
                <w:noProof/>
                <w:webHidden/>
              </w:rPr>
              <w:fldChar w:fldCharType="begin"/>
            </w:r>
            <w:r>
              <w:rPr>
                <w:noProof/>
                <w:webHidden/>
              </w:rPr>
              <w:instrText xml:space="preserve"> PAGEREF _Toc244107631 \h </w:instrText>
            </w:r>
            <w:r>
              <w:rPr>
                <w:noProof/>
                <w:webHidden/>
              </w:rPr>
            </w:r>
            <w:r>
              <w:rPr>
                <w:noProof/>
                <w:webHidden/>
              </w:rPr>
              <w:fldChar w:fldCharType="separate"/>
            </w:r>
            <w:r>
              <w:rPr>
                <w:noProof/>
                <w:webHidden/>
              </w:rPr>
              <w:t>5</w:t>
            </w:r>
            <w:r>
              <w:rPr>
                <w:noProof/>
                <w:webHidden/>
              </w:rPr>
              <w:fldChar w:fldCharType="end"/>
            </w:r>
          </w:hyperlink>
        </w:p>
        <w:p w14:paraId="241AC71A" w14:textId="27A7DECB" w:rsidR="00FA7E9E" w:rsidRDefault="00FA7E9E">
          <w:pPr>
            <w:pStyle w:val="TOC2"/>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32" w:history="1">
            <w:r w:rsidRPr="00E277E1">
              <w:rPr>
                <w:rStyle w:val="Hyperlink"/>
                <w:noProof/>
              </w:rPr>
              <w:t>Modifying Factors</w:t>
            </w:r>
            <w:r>
              <w:rPr>
                <w:noProof/>
                <w:webHidden/>
              </w:rPr>
              <w:tab/>
            </w:r>
            <w:r>
              <w:rPr>
                <w:noProof/>
                <w:webHidden/>
              </w:rPr>
              <w:fldChar w:fldCharType="begin"/>
            </w:r>
            <w:r>
              <w:rPr>
                <w:noProof/>
                <w:webHidden/>
              </w:rPr>
              <w:instrText xml:space="preserve"> PAGEREF _Toc244107632 \h </w:instrText>
            </w:r>
            <w:r>
              <w:rPr>
                <w:noProof/>
                <w:webHidden/>
              </w:rPr>
            </w:r>
            <w:r>
              <w:rPr>
                <w:noProof/>
                <w:webHidden/>
              </w:rPr>
              <w:fldChar w:fldCharType="separate"/>
            </w:r>
            <w:r>
              <w:rPr>
                <w:noProof/>
                <w:webHidden/>
              </w:rPr>
              <w:t>6</w:t>
            </w:r>
            <w:r>
              <w:rPr>
                <w:noProof/>
                <w:webHidden/>
              </w:rPr>
              <w:fldChar w:fldCharType="end"/>
            </w:r>
          </w:hyperlink>
        </w:p>
        <w:p w14:paraId="32550963" w14:textId="14632981" w:rsidR="00FA7E9E" w:rsidRDefault="00FA7E9E">
          <w:pPr>
            <w:pStyle w:val="TOC2"/>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33" w:history="1">
            <w:r w:rsidRPr="00E277E1">
              <w:rPr>
                <w:rStyle w:val="Hyperlink"/>
                <w:noProof/>
              </w:rPr>
              <w:t>Mineral Reserve</w:t>
            </w:r>
            <w:r>
              <w:rPr>
                <w:noProof/>
                <w:webHidden/>
              </w:rPr>
              <w:tab/>
            </w:r>
            <w:r>
              <w:rPr>
                <w:noProof/>
                <w:webHidden/>
              </w:rPr>
              <w:fldChar w:fldCharType="begin"/>
            </w:r>
            <w:r>
              <w:rPr>
                <w:noProof/>
                <w:webHidden/>
              </w:rPr>
              <w:instrText xml:space="preserve"> PAGEREF _Toc244107633 \h </w:instrText>
            </w:r>
            <w:r>
              <w:rPr>
                <w:noProof/>
                <w:webHidden/>
              </w:rPr>
            </w:r>
            <w:r>
              <w:rPr>
                <w:noProof/>
                <w:webHidden/>
              </w:rPr>
              <w:fldChar w:fldCharType="separate"/>
            </w:r>
            <w:r>
              <w:rPr>
                <w:noProof/>
                <w:webHidden/>
              </w:rPr>
              <w:t>6</w:t>
            </w:r>
            <w:r>
              <w:rPr>
                <w:noProof/>
                <w:webHidden/>
              </w:rPr>
              <w:fldChar w:fldCharType="end"/>
            </w:r>
          </w:hyperlink>
        </w:p>
        <w:p w14:paraId="0355E5BF" w14:textId="03B403CD" w:rsidR="00FA7E9E" w:rsidRDefault="00FA7E9E">
          <w:pPr>
            <w:pStyle w:val="TOC2"/>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34" w:history="1">
            <w:r w:rsidRPr="00E277E1">
              <w:rPr>
                <w:rStyle w:val="Hyperlink"/>
                <w:noProof/>
              </w:rPr>
              <w:t>Probable Mineral Reserve</w:t>
            </w:r>
            <w:r>
              <w:rPr>
                <w:noProof/>
                <w:webHidden/>
              </w:rPr>
              <w:tab/>
            </w:r>
            <w:r>
              <w:rPr>
                <w:noProof/>
                <w:webHidden/>
              </w:rPr>
              <w:fldChar w:fldCharType="begin"/>
            </w:r>
            <w:r>
              <w:rPr>
                <w:noProof/>
                <w:webHidden/>
              </w:rPr>
              <w:instrText xml:space="preserve"> PAGEREF _Toc244107634 \h </w:instrText>
            </w:r>
            <w:r>
              <w:rPr>
                <w:noProof/>
                <w:webHidden/>
              </w:rPr>
            </w:r>
            <w:r>
              <w:rPr>
                <w:noProof/>
                <w:webHidden/>
              </w:rPr>
              <w:fldChar w:fldCharType="separate"/>
            </w:r>
            <w:r>
              <w:rPr>
                <w:noProof/>
                <w:webHidden/>
              </w:rPr>
              <w:t>6</w:t>
            </w:r>
            <w:r>
              <w:rPr>
                <w:noProof/>
                <w:webHidden/>
              </w:rPr>
              <w:fldChar w:fldCharType="end"/>
            </w:r>
          </w:hyperlink>
        </w:p>
        <w:p w14:paraId="115B8E81" w14:textId="76B43DF7" w:rsidR="00FA7E9E" w:rsidRDefault="00FA7E9E">
          <w:pPr>
            <w:pStyle w:val="TOC2"/>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35" w:history="1">
            <w:r w:rsidRPr="00E277E1">
              <w:rPr>
                <w:rStyle w:val="Hyperlink"/>
                <w:noProof/>
              </w:rPr>
              <w:t>Proven Mineral Reserve (Proved Mineral Reserve)</w:t>
            </w:r>
            <w:r>
              <w:rPr>
                <w:noProof/>
                <w:webHidden/>
              </w:rPr>
              <w:tab/>
            </w:r>
            <w:r>
              <w:rPr>
                <w:noProof/>
                <w:webHidden/>
              </w:rPr>
              <w:fldChar w:fldCharType="begin"/>
            </w:r>
            <w:r>
              <w:rPr>
                <w:noProof/>
                <w:webHidden/>
              </w:rPr>
              <w:instrText xml:space="preserve"> PAGEREF _Toc244107635 \h </w:instrText>
            </w:r>
            <w:r>
              <w:rPr>
                <w:noProof/>
                <w:webHidden/>
              </w:rPr>
            </w:r>
            <w:r>
              <w:rPr>
                <w:noProof/>
                <w:webHidden/>
              </w:rPr>
              <w:fldChar w:fldCharType="separate"/>
            </w:r>
            <w:r>
              <w:rPr>
                <w:noProof/>
                <w:webHidden/>
              </w:rPr>
              <w:t>6</w:t>
            </w:r>
            <w:r>
              <w:rPr>
                <w:noProof/>
                <w:webHidden/>
              </w:rPr>
              <w:fldChar w:fldCharType="end"/>
            </w:r>
          </w:hyperlink>
        </w:p>
        <w:p w14:paraId="0076B499" w14:textId="2E5535DA" w:rsidR="00FA7E9E" w:rsidRDefault="00FA7E9E">
          <w:pPr>
            <w:pStyle w:val="TOC1"/>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36" w:history="1">
            <w:r w:rsidRPr="00E277E1">
              <w:rPr>
                <w:rStyle w:val="Hyperlink"/>
                <w:noProof/>
              </w:rPr>
              <w:t>Mineral Resource and Mineral Reserve Classification</w:t>
            </w:r>
            <w:r>
              <w:rPr>
                <w:noProof/>
                <w:webHidden/>
              </w:rPr>
              <w:tab/>
            </w:r>
            <w:r>
              <w:rPr>
                <w:noProof/>
                <w:webHidden/>
              </w:rPr>
              <w:fldChar w:fldCharType="begin"/>
            </w:r>
            <w:r>
              <w:rPr>
                <w:noProof/>
                <w:webHidden/>
              </w:rPr>
              <w:instrText xml:space="preserve"> PAGEREF _Toc244107636 \h </w:instrText>
            </w:r>
            <w:r>
              <w:rPr>
                <w:noProof/>
                <w:webHidden/>
              </w:rPr>
            </w:r>
            <w:r>
              <w:rPr>
                <w:noProof/>
                <w:webHidden/>
              </w:rPr>
              <w:fldChar w:fldCharType="separate"/>
            </w:r>
            <w:r>
              <w:rPr>
                <w:noProof/>
                <w:webHidden/>
              </w:rPr>
              <w:t>7</w:t>
            </w:r>
            <w:r>
              <w:rPr>
                <w:noProof/>
                <w:webHidden/>
              </w:rPr>
              <w:fldChar w:fldCharType="end"/>
            </w:r>
          </w:hyperlink>
        </w:p>
        <w:p w14:paraId="64FAFADE" w14:textId="0D88B989" w:rsidR="00FA7E9E" w:rsidRDefault="00FA7E9E">
          <w:pPr>
            <w:pStyle w:val="TOC1"/>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37" w:history="1">
            <w:r w:rsidRPr="00E277E1">
              <w:rPr>
                <w:rStyle w:val="Hyperlink"/>
                <w:noProof/>
              </w:rPr>
              <w:t>Guidance for Reporting Exploration Information, Exploration Targets, Mineral Resource and Mineral Reserve Information</w:t>
            </w:r>
            <w:r>
              <w:rPr>
                <w:noProof/>
                <w:webHidden/>
              </w:rPr>
              <w:tab/>
            </w:r>
            <w:r>
              <w:rPr>
                <w:noProof/>
                <w:webHidden/>
              </w:rPr>
              <w:fldChar w:fldCharType="begin"/>
            </w:r>
            <w:r>
              <w:rPr>
                <w:noProof/>
                <w:webHidden/>
              </w:rPr>
              <w:instrText xml:space="preserve"> PAGEREF _Toc244107637 \h </w:instrText>
            </w:r>
            <w:r>
              <w:rPr>
                <w:noProof/>
                <w:webHidden/>
              </w:rPr>
            </w:r>
            <w:r>
              <w:rPr>
                <w:noProof/>
                <w:webHidden/>
              </w:rPr>
              <w:fldChar w:fldCharType="separate"/>
            </w:r>
            <w:r>
              <w:rPr>
                <w:noProof/>
                <w:webHidden/>
              </w:rPr>
              <w:t>8</w:t>
            </w:r>
            <w:r>
              <w:rPr>
                <w:noProof/>
                <w:webHidden/>
              </w:rPr>
              <w:fldChar w:fldCharType="end"/>
            </w:r>
          </w:hyperlink>
        </w:p>
        <w:p w14:paraId="0B76F3B7" w14:textId="7D2F2EAD" w:rsidR="00FA7E9E" w:rsidRDefault="00FA7E9E">
          <w:pPr>
            <w:pStyle w:val="TOC2"/>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38" w:history="1">
            <w:r w:rsidRPr="00E277E1">
              <w:rPr>
                <w:rStyle w:val="Hyperlink"/>
                <w:noProof/>
              </w:rPr>
              <w:t>CIM Guidance Documents</w:t>
            </w:r>
            <w:r>
              <w:rPr>
                <w:noProof/>
                <w:webHidden/>
              </w:rPr>
              <w:tab/>
            </w:r>
            <w:r>
              <w:rPr>
                <w:noProof/>
                <w:webHidden/>
              </w:rPr>
              <w:fldChar w:fldCharType="begin"/>
            </w:r>
            <w:r>
              <w:rPr>
                <w:noProof/>
                <w:webHidden/>
              </w:rPr>
              <w:instrText xml:space="preserve"> PAGEREF _Toc244107638 \h </w:instrText>
            </w:r>
            <w:r>
              <w:rPr>
                <w:noProof/>
                <w:webHidden/>
              </w:rPr>
            </w:r>
            <w:r>
              <w:rPr>
                <w:noProof/>
                <w:webHidden/>
              </w:rPr>
              <w:fldChar w:fldCharType="separate"/>
            </w:r>
            <w:r>
              <w:rPr>
                <w:noProof/>
                <w:webHidden/>
              </w:rPr>
              <w:t>8</w:t>
            </w:r>
            <w:r>
              <w:rPr>
                <w:noProof/>
                <w:webHidden/>
              </w:rPr>
              <w:fldChar w:fldCharType="end"/>
            </w:r>
          </w:hyperlink>
        </w:p>
        <w:p w14:paraId="6D7062FC" w14:textId="2F090AFD" w:rsidR="00FA7E9E" w:rsidRDefault="00FA7E9E">
          <w:pPr>
            <w:pStyle w:val="TOC2"/>
            <w:tabs>
              <w:tab w:val="right" w:leader="dot" w:pos="9811"/>
            </w:tabs>
            <w:rPr>
              <w:rFonts w:asciiTheme="minorHAnsi" w:eastAsiaTheme="minorEastAsia" w:hAnsiTheme="minorHAnsi" w:cstheme="minorBidi"/>
              <w:noProof/>
              <w:kern w:val="2"/>
              <w:sz w:val="24"/>
              <w:szCs w:val="24"/>
              <w:lang w:val="en-CA" w:bidi="ar-SA"/>
              <w14:ligatures w14:val="standardContextual"/>
            </w:rPr>
          </w:pPr>
          <w:hyperlink w:anchor="_Toc244107639" w:history="1">
            <w:r w:rsidRPr="00E277E1">
              <w:rPr>
                <w:rStyle w:val="Hyperlink"/>
                <w:noProof/>
              </w:rPr>
              <w:t>CIM Practitioner Guidance</w:t>
            </w:r>
            <w:r>
              <w:rPr>
                <w:noProof/>
                <w:webHidden/>
              </w:rPr>
              <w:tab/>
            </w:r>
            <w:r>
              <w:rPr>
                <w:noProof/>
                <w:webHidden/>
              </w:rPr>
              <w:fldChar w:fldCharType="begin"/>
            </w:r>
            <w:r>
              <w:rPr>
                <w:noProof/>
                <w:webHidden/>
              </w:rPr>
              <w:instrText xml:space="preserve"> PAGEREF _Toc244107639 \h </w:instrText>
            </w:r>
            <w:r>
              <w:rPr>
                <w:noProof/>
                <w:webHidden/>
              </w:rPr>
            </w:r>
            <w:r>
              <w:rPr>
                <w:noProof/>
                <w:webHidden/>
              </w:rPr>
              <w:fldChar w:fldCharType="separate"/>
            </w:r>
            <w:r>
              <w:rPr>
                <w:noProof/>
                <w:webHidden/>
              </w:rPr>
              <w:t>9</w:t>
            </w:r>
            <w:r>
              <w:rPr>
                <w:noProof/>
                <w:webHidden/>
              </w:rPr>
              <w:fldChar w:fldCharType="end"/>
            </w:r>
          </w:hyperlink>
        </w:p>
        <w:p w14:paraId="1D3A9C07" w14:textId="0B923D89" w:rsidR="00100CD8" w:rsidRDefault="00862029">
          <w:r>
            <w:fldChar w:fldCharType="end"/>
          </w:r>
        </w:p>
      </w:sdtContent>
    </w:sdt>
    <w:p w14:paraId="1D3A9C09" w14:textId="77777777" w:rsidR="00100CD8" w:rsidRDefault="00862029">
      <w:pPr>
        <w:pStyle w:val="Heading1"/>
        <w:pageBreakBefore/>
      </w:pPr>
      <w:bookmarkStart w:id="2" w:name="Foreword"/>
      <w:bookmarkStart w:id="3" w:name="_Toc244107620"/>
      <w:bookmarkEnd w:id="2"/>
      <w:r>
        <w:lastRenderedPageBreak/>
        <w:t>Foreword</w:t>
      </w:r>
      <w:bookmarkEnd w:id="3"/>
    </w:p>
    <w:p w14:paraId="1D3A9C0A" w14:textId="3A366195" w:rsidR="00100CD8" w:rsidRDefault="00862029">
      <w:pPr>
        <w:widowControl/>
        <w:spacing w:after="220"/>
        <w:jc w:val="both"/>
      </w:pPr>
      <w:r>
        <w:t xml:space="preserve">The CIM Definition Standards on Mineral Resources and Reserves (CIM Definition Standards) establish definitions and guidance on the </w:t>
      </w:r>
      <w:r w:rsidR="003B50CC">
        <w:t xml:space="preserve">terms </w:t>
      </w:r>
      <w:r>
        <w:t xml:space="preserve">for </w:t>
      </w:r>
      <w:r w:rsidR="004C6270">
        <w:t xml:space="preserve">Exploration Target, </w:t>
      </w:r>
      <w:r>
        <w:t xml:space="preserve">Mineral Resources, Mineral Reserves, </w:t>
      </w:r>
      <w:r w:rsidR="006E34F0">
        <w:t>Mo</w:t>
      </w:r>
      <w:r w:rsidR="008F177E">
        <w:t>d</w:t>
      </w:r>
      <w:r w:rsidR="006E34F0">
        <w:t>ifying Factors</w:t>
      </w:r>
      <w:r w:rsidR="008F177E">
        <w:t xml:space="preserve">, </w:t>
      </w:r>
      <w:r>
        <w:t xml:space="preserve">and </w:t>
      </w:r>
      <w:r w:rsidR="00541F26">
        <w:t xml:space="preserve">four types of </w:t>
      </w:r>
      <w:r>
        <w:t>mining studies</w:t>
      </w:r>
      <w:r w:rsidR="00541F26">
        <w:t>: Scoping Study, P</w:t>
      </w:r>
      <w:r w:rsidR="008640DF">
        <w:t>re-</w:t>
      </w:r>
      <w:r w:rsidR="008D2DC3">
        <w:t>F</w:t>
      </w:r>
      <w:r w:rsidR="008640DF">
        <w:t>easibility Study, Feasibility Study, and Life of Mine Plan</w:t>
      </w:r>
      <w:r>
        <w:t>. The</w:t>
      </w:r>
      <w:r w:rsidR="00AC3422">
        <w:t>se</w:t>
      </w:r>
      <w:r>
        <w:t xml:space="preserve"> definitions are incorporated, by reference, into National Instrument 43-101 – </w:t>
      </w:r>
      <w:r>
        <w:rPr>
          <w:i/>
          <w:iCs/>
        </w:rPr>
        <w:t xml:space="preserve">Standards of Disclosure for Mineral Projects </w:t>
      </w:r>
      <w:r>
        <w:t xml:space="preserve">(NI 43-101). </w:t>
      </w:r>
    </w:p>
    <w:p w14:paraId="1D3A9C0E" w14:textId="77777777" w:rsidR="00100CD8" w:rsidRDefault="00862029">
      <w:pPr>
        <w:pStyle w:val="Heading1"/>
      </w:pPr>
      <w:bookmarkStart w:id="4" w:name="CIM_Definition_Standards"/>
      <w:bookmarkStart w:id="5" w:name="_Toc244107621"/>
      <w:bookmarkEnd w:id="4"/>
      <w:r>
        <w:t>CIM Definition Standards</w:t>
      </w:r>
      <w:bookmarkEnd w:id="5"/>
    </w:p>
    <w:p w14:paraId="1D3A9C0F" w14:textId="72A16B86" w:rsidR="00100CD8" w:rsidRDefault="00862029" w:rsidP="72D3C8C8">
      <w:pPr>
        <w:widowControl/>
        <w:spacing w:after="220"/>
        <w:jc w:val="both"/>
      </w:pPr>
      <w:r>
        <w:t xml:space="preserve">The CIM Definition Standards presented herein provide definitions and guidance on those </w:t>
      </w:r>
      <w:r w:rsidR="49AA7437">
        <w:t xml:space="preserve">terms </w:t>
      </w:r>
      <w:r>
        <w:t xml:space="preserve">for Mineral Resource and Mineral Reserve and their confidence categories. The </w:t>
      </w:r>
      <w:r w:rsidR="008E61E9">
        <w:t xml:space="preserve">confidence </w:t>
      </w:r>
      <w:r>
        <w:t xml:space="preserve">category to which a Mineral Resource or Mineral Reserve estimate is assigned depends on the level of confidence in the geological information available on the mineral deposit; the quality and quantity of data available on the deposit; the level of detail of the technical and economic information which has been generated about the deposit, </w:t>
      </w:r>
      <w:r w:rsidR="008E61E9">
        <w:t xml:space="preserve">the complexity of the deposit, </w:t>
      </w:r>
      <w:r>
        <w:t xml:space="preserve">and the </w:t>
      </w:r>
      <w:r w:rsidR="008E61E9">
        <w:t xml:space="preserve">confidence in the </w:t>
      </w:r>
      <w:r>
        <w:t xml:space="preserve">interpretation of the data and information. In </w:t>
      </w:r>
      <w:r w:rsidR="008E61E9">
        <w:t>this</w:t>
      </w:r>
      <w:r>
        <w:t xml:space="preserve"> document the definitions are in bold </w:t>
      </w:r>
      <w:proofErr w:type="gramStart"/>
      <w:r>
        <w:t>type</w:t>
      </w:r>
      <w:proofErr w:type="gramEnd"/>
      <w:r>
        <w:t xml:space="preserve"> and the guidance is in italics.</w:t>
      </w:r>
    </w:p>
    <w:p w14:paraId="1D3A9C12" w14:textId="77777777" w:rsidR="00100CD8" w:rsidRDefault="00862029">
      <w:pPr>
        <w:pStyle w:val="Heading1"/>
      </w:pPr>
      <w:bookmarkStart w:id="6" w:name="Definitions"/>
      <w:bookmarkStart w:id="7" w:name="_Toc244107622"/>
      <w:bookmarkEnd w:id="6"/>
      <w:r>
        <w:t>Definitions</w:t>
      </w:r>
      <w:bookmarkEnd w:id="7"/>
    </w:p>
    <w:p w14:paraId="1D3A9C1E" w14:textId="65A2A52A" w:rsidR="00100CD8" w:rsidRDefault="00862029" w:rsidP="72D3C8C8">
      <w:pPr>
        <w:spacing w:line="20" w:lineRule="exact"/>
      </w:pPr>
      <w:r>
        <w:t xml:space="preserve"> </w:t>
      </w:r>
    </w:p>
    <w:p w14:paraId="36D08664" w14:textId="6D466654" w:rsidR="003C5069" w:rsidRDefault="002E14D8" w:rsidP="003C5069">
      <w:pPr>
        <w:pStyle w:val="Heading2"/>
      </w:pPr>
      <w:bookmarkStart w:id="8" w:name="Pre-Feasibility_Study_(Preliminary_Feasi"/>
      <w:bookmarkStart w:id="9" w:name="_Toc244107623"/>
      <w:bookmarkEnd w:id="8"/>
      <w:r>
        <w:t>Exploration Target</w:t>
      </w:r>
      <w:bookmarkEnd w:id="9"/>
    </w:p>
    <w:p w14:paraId="014AD6A7" w14:textId="7E3CC888" w:rsidR="003C5069" w:rsidRDefault="00CF31C4">
      <w:pPr>
        <w:widowControl/>
        <w:spacing w:after="220"/>
        <w:jc w:val="both"/>
      </w:pPr>
      <w:r w:rsidRPr="00796EC1">
        <w:rPr>
          <w:b/>
          <w:bCs/>
        </w:rPr>
        <w:t xml:space="preserve">An Exploration Target is </w:t>
      </w:r>
      <w:r w:rsidR="007861CA" w:rsidRPr="00796EC1">
        <w:rPr>
          <w:b/>
          <w:bCs/>
        </w:rPr>
        <w:t>a</w:t>
      </w:r>
      <w:r w:rsidR="007861CA">
        <w:rPr>
          <w:b/>
          <w:bCs/>
        </w:rPr>
        <w:t>n</w:t>
      </w:r>
      <w:r w:rsidR="007861CA" w:rsidRPr="00796EC1">
        <w:rPr>
          <w:b/>
          <w:bCs/>
        </w:rPr>
        <w:t xml:space="preserve"> estimate</w:t>
      </w:r>
      <w:r w:rsidRPr="00796EC1">
        <w:rPr>
          <w:b/>
          <w:bCs/>
        </w:rPr>
        <w:t xml:space="preserve"> of the exploration potential of a mineral deposit in a defined geological setting where the estimate, quoted as a range of tonnes and a range of grade or</w:t>
      </w:r>
      <w:r w:rsidR="003D6066">
        <w:rPr>
          <w:b/>
          <w:bCs/>
        </w:rPr>
        <w:t xml:space="preserve"> </w:t>
      </w:r>
      <w:r w:rsidRPr="00796EC1">
        <w:rPr>
          <w:b/>
          <w:bCs/>
        </w:rPr>
        <w:t xml:space="preserve"> </w:t>
      </w:r>
      <w:r w:rsidR="00717E0B">
        <w:rPr>
          <w:b/>
          <w:bCs/>
        </w:rPr>
        <w:t xml:space="preserve"> </w:t>
      </w:r>
      <w:r w:rsidRPr="00796EC1">
        <w:rPr>
          <w:b/>
          <w:bCs/>
        </w:rPr>
        <w:t>quality, relates to minerali</w:t>
      </w:r>
      <w:r w:rsidR="00E238AB" w:rsidRPr="00796EC1">
        <w:rPr>
          <w:b/>
          <w:bCs/>
        </w:rPr>
        <w:t>z</w:t>
      </w:r>
      <w:r w:rsidRPr="00796EC1">
        <w:rPr>
          <w:b/>
          <w:bCs/>
        </w:rPr>
        <w:t xml:space="preserve">ation for which there has been insufficient exploration to estimate </w:t>
      </w:r>
      <w:r w:rsidRPr="00796EC1">
        <w:rPr>
          <w:b/>
          <w:bCs/>
          <w:u w:val="thick"/>
        </w:rPr>
        <w:t>Mineral Resources</w:t>
      </w:r>
      <w:r w:rsidR="001474ED">
        <w:rPr>
          <w:b/>
          <w:bCs/>
          <w:u w:val="thick"/>
        </w:rPr>
        <w:t>.</w:t>
      </w:r>
    </w:p>
    <w:p w14:paraId="39A5402F" w14:textId="5C4F2111" w:rsidR="009E122C" w:rsidRDefault="009E122C" w:rsidP="009E122C">
      <w:pPr>
        <w:widowControl/>
        <w:spacing w:after="220"/>
        <w:jc w:val="both"/>
      </w:pPr>
      <w:r>
        <w:rPr>
          <w:i/>
          <w:iCs/>
        </w:rPr>
        <w:t xml:space="preserve">Quantification of the estimate of the tonnage and grade/quality range for an Exploration Target should have a reasonable basis.  A reasonable basis can be determined by the deposit model or deposit type being sought, the type, amount, and </w:t>
      </w:r>
      <w:r w:rsidRPr="00291926">
        <w:rPr>
          <w:i/>
          <w:iCs/>
        </w:rPr>
        <w:t>quality</w:t>
      </w:r>
      <w:r>
        <w:rPr>
          <w:i/>
          <w:iCs/>
        </w:rPr>
        <w:t xml:space="preserve"> of the available project-specific exploration information, and the method(s) and assumptions used to estimate and quantify the tonnage and grade/quality range.</w:t>
      </w:r>
    </w:p>
    <w:p w14:paraId="431B5BF8" w14:textId="77777777" w:rsidR="00412185" w:rsidRPr="007861CA" w:rsidRDefault="009E122C" w:rsidP="007861CA">
      <w:pPr>
        <w:widowControl/>
        <w:spacing w:after="220"/>
        <w:jc w:val="both"/>
      </w:pPr>
      <w:r w:rsidRPr="007861CA">
        <w:rPr>
          <w:i/>
          <w:iCs/>
        </w:rPr>
        <w:t xml:space="preserve">The basis of the tonnage and grade range should be documented, and whether the information is based on direct or indirect exploration methods.  </w:t>
      </w:r>
    </w:p>
    <w:p w14:paraId="013B2C97" w14:textId="13B7D929" w:rsidR="00412185" w:rsidRPr="007861CA" w:rsidRDefault="00412185" w:rsidP="007861CA">
      <w:pPr>
        <w:widowControl/>
        <w:spacing w:after="220"/>
        <w:jc w:val="both"/>
      </w:pPr>
      <w:r w:rsidRPr="007861CA">
        <w:rPr>
          <w:i/>
          <w:iCs/>
        </w:rPr>
        <w:t>The Exploration Target therefore does not represent, and should not be construed to be, an estimate of a Mineral Resource</w:t>
      </w:r>
      <w:r w:rsidR="005C77C3">
        <w:rPr>
          <w:i/>
          <w:iCs/>
        </w:rPr>
        <w:t>.</w:t>
      </w:r>
    </w:p>
    <w:p w14:paraId="41F20325" w14:textId="2EE340D1" w:rsidR="00AB5273" w:rsidRPr="00CA5096" w:rsidRDefault="00067574" w:rsidP="007861CA">
      <w:pPr>
        <w:pStyle w:val="Heading2"/>
      </w:pPr>
      <w:bookmarkStart w:id="10" w:name="_Toc244107624"/>
      <w:r w:rsidRPr="007861CA">
        <w:t>Scoping Study</w:t>
      </w:r>
      <w:bookmarkEnd w:id="10"/>
    </w:p>
    <w:p w14:paraId="407B294E" w14:textId="7CE5F9CC" w:rsidR="006D705A" w:rsidRDefault="003B16AF" w:rsidP="003B16AF">
      <w:pPr>
        <w:widowControl/>
        <w:spacing w:after="220"/>
        <w:jc w:val="both"/>
      </w:pPr>
      <w:r w:rsidRPr="004629FA">
        <w:rPr>
          <w:b/>
          <w:bCs/>
        </w:rPr>
        <w:t xml:space="preserve">A Scoping Study is a technical and economic study of Mineral Resources, based on a conceptual analysis of all relevant operational factors, including a financial </w:t>
      </w:r>
      <w:r w:rsidR="00CF2CBA">
        <w:rPr>
          <w:b/>
          <w:bCs/>
        </w:rPr>
        <w:t xml:space="preserve">analysis, that supports reasonable prospects for economic extraction. </w:t>
      </w:r>
    </w:p>
    <w:p w14:paraId="215F3CC5" w14:textId="1DAD6B14" w:rsidR="003B16AF" w:rsidRDefault="003B16AF" w:rsidP="003B16AF">
      <w:pPr>
        <w:widowControl/>
        <w:spacing w:after="220"/>
        <w:jc w:val="both"/>
      </w:pPr>
      <w:r w:rsidRPr="004629FA">
        <w:rPr>
          <w:b/>
          <w:bCs/>
        </w:rPr>
        <w:t>A Scoping Study will have some technical or economic factors that do not meet at least a pre-feasibility level of study.</w:t>
      </w:r>
    </w:p>
    <w:p w14:paraId="4376C30D" w14:textId="77777777" w:rsidR="009B34C6" w:rsidRPr="007861CA" w:rsidRDefault="009B34C6" w:rsidP="009B34C6">
      <w:pPr>
        <w:widowControl/>
        <w:spacing w:after="220"/>
        <w:jc w:val="both"/>
      </w:pPr>
      <w:r w:rsidRPr="007861CA">
        <w:rPr>
          <w:i/>
          <w:iCs/>
        </w:rPr>
        <w:t>A Scoping Study is based on Mineral Resources and cannot be used as the basis for estimation of Mineral Reserves. The study can use any combination of Mineral Resource confidence categories.</w:t>
      </w:r>
    </w:p>
    <w:p w14:paraId="3E25B0C0" w14:textId="77777777" w:rsidR="009B34C6" w:rsidRPr="007861CA" w:rsidRDefault="009B34C6" w:rsidP="009B34C6">
      <w:pPr>
        <w:widowControl/>
        <w:spacing w:after="220"/>
        <w:jc w:val="both"/>
      </w:pPr>
      <w:r w:rsidRPr="007861CA">
        <w:rPr>
          <w:i/>
          <w:iCs/>
        </w:rPr>
        <w:lastRenderedPageBreak/>
        <w:t>The portion of the Mineral Resources that are used in the economic analysis in a Scoping Study should include reasonable assumptions as to mining losses and dilution.</w:t>
      </w:r>
    </w:p>
    <w:p w14:paraId="46FA8639" w14:textId="77777777" w:rsidR="009B34C6" w:rsidRPr="007861CA" w:rsidRDefault="009B34C6" w:rsidP="009B34C6">
      <w:pPr>
        <w:widowControl/>
        <w:spacing w:after="220"/>
        <w:jc w:val="both"/>
      </w:pPr>
      <w:r w:rsidRPr="007861CA">
        <w:rPr>
          <w:i/>
          <w:iCs/>
        </w:rPr>
        <w:t>If the Scoping Study includes Inferred Mineral Resources, the proportion and timing of Inferred Mineral Resources in the mine plan and economic analysis should be documented.</w:t>
      </w:r>
    </w:p>
    <w:p w14:paraId="13FC15B2" w14:textId="77777777" w:rsidR="009B34C6" w:rsidRPr="007861CA" w:rsidRDefault="009B34C6" w:rsidP="009B34C6">
      <w:pPr>
        <w:widowControl/>
        <w:spacing w:after="220"/>
        <w:jc w:val="both"/>
      </w:pPr>
      <w:r w:rsidRPr="007861CA">
        <w:rPr>
          <w:i/>
          <w:iCs/>
        </w:rPr>
        <w:t>The Scoping Study should be based on reasonably assumed technical, economic, and other relevant factors. Such factors can include: mineral tenure, surface, and water rights, property agreements and encumbrances; geology and mineralization; sampling; metallurgical and processing assumptions including recovery forecasts and potentially deleterious elements; geotechnical, geochemical, and hydrological assumptions; mining method and mine plan assumptions including waste management; onsite and offsite infrastructure requirements; marketing and contract assumptions, including commodity price forecasts; environmental, social, and permitting assumptions; capital, operating, and closure cost estimates; economic analysis based on an annualized mine plan that includes applicable taxes and royalties; and governmental factors.</w:t>
      </w:r>
    </w:p>
    <w:p w14:paraId="48D91119" w14:textId="43A22B03" w:rsidR="009B34C6" w:rsidRPr="009C54C9" w:rsidRDefault="009B34C6" w:rsidP="009B34C6">
      <w:pPr>
        <w:widowControl/>
        <w:spacing w:after="220"/>
        <w:jc w:val="both"/>
      </w:pPr>
      <w:r w:rsidRPr="007861CA">
        <w:rPr>
          <w:i/>
          <w:iCs/>
        </w:rPr>
        <w:t>The results of the Scoping Study may be used to provide guidance to management regarding whether to advance a project, and/or identify what additional work needs to be completed to improve project understanding.</w:t>
      </w:r>
    </w:p>
    <w:p w14:paraId="1D3A9C1F" w14:textId="64E7DB84" w:rsidR="00100CD8" w:rsidRDefault="00862029">
      <w:pPr>
        <w:pStyle w:val="Heading2"/>
      </w:pPr>
      <w:bookmarkStart w:id="11" w:name="_Toc244107625"/>
      <w:r>
        <w:t>Pre-Feasibility Study (Preliminary Feasibility Study)</w:t>
      </w:r>
      <w:bookmarkEnd w:id="11"/>
    </w:p>
    <w:p w14:paraId="1D3A9C21" w14:textId="4A782511" w:rsidR="00100CD8" w:rsidRDefault="6EFB597D" w:rsidP="2A454D1A">
      <w:pPr>
        <w:widowControl/>
        <w:spacing w:after="220"/>
        <w:jc w:val="both"/>
      </w:pPr>
      <w:r>
        <w:rPr>
          <w:i/>
          <w:iCs/>
        </w:rPr>
        <w:t xml:space="preserve">A </w:t>
      </w:r>
      <w:r w:rsidR="18550EE6">
        <w:rPr>
          <w:i/>
          <w:iCs/>
        </w:rPr>
        <w:t xml:space="preserve">Pre-Feasibility Study </w:t>
      </w:r>
      <w:r w:rsidR="3027D448">
        <w:rPr>
          <w:i/>
          <w:iCs/>
        </w:rPr>
        <w:t>i</w:t>
      </w:r>
      <w:r w:rsidR="18550EE6">
        <w:rPr>
          <w:i/>
          <w:iCs/>
        </w:rPr>
        <w:t xml:space="preserve">s the minimum </w:t>
      </w:r>
      <w:r w:rsidR="09942E78">
        <w:rPr>
          <w:i/>
          <w:iCs/>
        </w:rPr>
        <w:t xml:space="preserve">study </w:t>
      </w:r>
      <w:r w:rsidR="4A47A890">
        <w:rPr>
          <w:i/>
          <w:iCs/>
        </w:rPr>
        <w:t>required</w:t>
      </w:r>
      <w:r w:rsidR="09942E78">
        <w:rPr>
          <w:i/>
          <w:iCs/>
        </w:rPr>
        <w:t xml:space="preserve"> to </w:t>
      </w:r>
      <w:r w:rsidR="5B86CF84">
        <w:rPr>
          <w:i/>
          <w:iCs/>
        </w:rPr>
        <w:t>appl</w:t>
      </w:r>
      <w:r w:rsidR="52CCFD79">
        <w:rPr>
          <w:i/>
          <w:iCs/>
        </w:rPr>
        <w:t>y</w:t>
      </w:r>
      <w:r w:rsidR="5B86CF84">
        <w:rPr>
          <w:i/>
          <w:iCs/>
        </w:rPr>
        <w:t xml:space="preserve"> </w:t>
      </w:r>
      <w:r w:rsidR="082CC58C">
        <w:rPr>
          <w:i/>
          <w:iCs/>
        </w:rPr>
        <w:t>the</w:t>
      </w:r>
      <w:r w:rsidR="5B86CF84">
        <w:rPr>
          <w:i/>
          <w:iCs/>
        </w:rPr>
        <w:t xml:space="preserve"> Modifying Factors to convert</w:t>
      </w:r>
      <w:r w:rsidR="18550EE6">
        <w:rPr>
          <w:i/>
          <w:iCs/>
        </w:rPr>
        <w:t xml:space="preserve"> </w:t>
      </w:r>
      <w:r w:rsidR="18550EE6" w:rsidRPr="2A454D1A">
        <w:rPr>
          <w:i/>
          <w:iCs/>
          <w:u w:val="single"/>
        </w:rPr>
        <w:t>Mineral Resources</w:t>
      </w:r>
      <w:r w:rsidR="18550EE6">
        <w:rPr>
          <w:i/>
          <w:iCs/>
        </w:rPr>
        <w:t xml:space="preserve"> to </w:t>
      </w:r>
      <w:r w:rsidR="18550EE6" w:rsidRPr="2A454D1A">
        <w:rPr>
          <w:i/>
          <w:iCs/>
          <w:u w:val="single"/>
        </w:rPr>
        <w:t>Mineral Reserve</w:t>
      </w:r>
      <w:r w:rsidR="18550EE6">
        <w:rPr>
          <w:i/>
          <w:iCs/>
        </w:rPr>
        <w:t>s.</w:t>
      </w:r>
    </w:p>
    <w:p w14:paraId="1D3A9C23" w14:textId="51B7EF0A" w:rsidR="00100CD8" w:rsidRDefault="00862029">
      <w:pPr>
        <w:widowControl/>
        <w:spacing w:after="220"/>
        <w:jc w:val="both"/>
      </w:pPr>
      <w:r>
        <w:rPr>
          <w:b/>
          <w:bCs/>
        </w:rPr>
        <w:t xml:space="preserve">A Pre-Feasibility Study is a comprehensive study of a range of options for the technical and economic viability of a mineral project that has advanced to a stage where </w:t>
      </w:r>
      <w:r w:rsidR="006C2DA9">
        <w:rPr>
          <w:b/>
          <w:bCs/>
        </w:rPr>
        <w:t>the</w:t>
      </w:r>
      <w:r>
        <w:rPr>
          <w:b/>
          <w:bCs/>
        </w:rPr>
        <w:t xml:space="preserve"> preferred method</w:t>
      </w:r>
      <w:r w:rsidR="006C2DA9">
        <w:rPr>
          <w:b/>
          <w:bCs/>
        </w:rPr>
        <w:t>s of extraction and beneficiation</w:t>
      </w:r>
      <w:r w:rsidR="005F51E3">
        <w:rPr>
          <w:b/>
          <w:bCs/>
        </w:rPr>
        <w:t xml:space="preserve"> have been</w:t>
      </w:r>
      <w:r>
        <w:rPr>
          <w:b/>
          <w:bCs/>
        </w:rPr>
        <w:t xml:space="preserve"> determined. It includes a financial analysis based on reasonable </w:t>
      </w:r>
      <w:r w:rsidR="005F51E3">
        <w:rPr>
          <w:b/>
          <w:bCs/>
        </w:rPr>
        <w:t xml:space="preserve">and demonstrated </w:t>
      </w:r>
      <w:r>
        <w:rPr>
          <w:b/>
          <w:bCs/>
        </w:rPr>
        <w:t xml:space="preserve">assumptions on the Modifying Factors and the evaluation of any other relevant factors which are sufficient for a </w:t>
      </w:r>
      <w:r w:rsidR="00B34E18">
        <w:rPr>
          <w:b/>
          <w:bCs/>
        </w:rPr>
        <w:t>Practitioner</w:t>
      </w:r>
      <w:r>
        <w:rPr>
          <w:b/>
          <w:bCs/>
        </w:rPr>
        <w:t xml:space="preserve">, acting reasonably, to determine if all or part of the Mineral Resource may be converted to a Mineral Reserve at the time of reporting. A Pre-Feasibility Study is at a lower confidence level than a </w:t>
      </w:r>
      <w:r>
        <w:rPr>
          <w:b/>
          <w:bCs/>
          <w:u w:val="single"/>
        </w:rPr>
        <w:t>Feasibility Study</w:t>
      </w:r>
      <w:r>
        <w:rPr>
          <w:b/>
          <w:bCs/>
        </w:rPr>
        <w:t>.</w:t>
      </w:r>
    </w:p>
    <w:p w14:paraId="1D3A9C25" w14:textId="77777777" w:rsidR="00100CD8" w:rsidRDefault="00862029">
      <w:pPr>
        <w:pStyle w:val="Heading2"/>
      </w:pPr>
      <w:bookmarkStart w:id="12" w:name="Feasibility_Study"/>
      <w:bookmarkStart w:id="13" w:name="_Toc244107626"/>
      <w:bookmarkEnd w:id="12"/>
      <w:r>
        <w:t>Feasibility Study</w:t>
      </w:r>
      <w:bookmarkEnd w:id="13"/>
    </w:p>
    <w:p w14:paraId="1D3A9C26" w14:textId="185A2444" w:rsidR="00100CD8" w:rsidRDefault="00862029">
      <w:pPr>
        <w:widowControl/>
        <w:spacing w:after="220"/>
        <w:jc w:val="both"/>
      </w:pPr>
      <w:r>
        <w:rPr>
          <w:b/>
          <w:bCs/>
        </w:rPr>
        <w:t xml:space="preserve">A Feasibility Study is a comprehensive technical and economic study of the selected development option for a mineral project that includes appropriately detailed assessments of applicable </w:t>
      </w:r>
      <w:r>
        <w:rPr>
          <w:b/>
          <w:bCs/>
          <w:u w:val="single"/>
        </w:rPr>
        <w:t>Modifying Factors</w:t>
      </w:r>
      <w:r>
        <w:rPr>
          <w:b/>
          <w:bCs/>
        </w:rPr>
        <w:t xml:space="preserve"> together with any other relevant operational factors and detailed financial analysis that are necessary to demonstrate, at the time of reporting, that </w:t>
      </w:r>
      <w:r w:rsidR="005F51E3">
        <w:rPr>
          <w:b/>
          <w:bCs/>
        </w:rPr>
        <w:t xml:space="preserve">economic </w:t>
      </w:r>
      <w:r>
        <w:rPr>
          <w:b/>
          <w:bCs/>
        </w:rPr>
        <w:t>extraction is reasonably justified.</w:t>
      </w:r>
    </w:p>
    <w:p w14:paraId="1D3A9C27" w14:textId="77777777" w:rsidR="00100CD8" w:rsidRDefault="00862029">
      <w:pPr>
        <w:widowControl/>
        <w:spacing w:after="220"/>
        <w:jc w:val="both"/>
      </w:pPr>
      <w:r>
        <w:rPr>
          <w:b/>
          <w:bCs/>
        </w:rPr>
        <w:t xml:space="preserve">The results of the study may reasonably serve as the basis for a final decision by a proponent or financial institution to proceed with, or finance, the development of the project. The confidence level of the study will be higher than that of a </w:t>
      </w:r>
      <w:r>
        <w:rPr>
          <w:b/>
          <w:bCs/>
          <w:u w:val="single"/>
        </w:rPr>
        <w:t>Pre-Feasibility Study</w:t>
      </w:r>
      <w:r>
        <w:rPr>
          <w:b/>
          <w:bCs/>
        </w:rPr>
        <w:t>.</w:t>
      </w:r>
    </w:p>
    <w:p w14:paraId="1D3A9C28" w14:textId="77777777" w:rsidR="00100CD8" w:rsidRDefault="00862029">
      <w:pPr>
        <w:widowControl/>
        <w:spacing w:after="220"/>
        <w:jc w:val="both"/>
      </w:pPr>
      <w:r>
        <w:rPr>
          <w:i/>
          <w:iCs/>
        </w:rPr>
        <w:t>The term proponent captures issuers who may finance a project without using traditional financial institutions. In these cases, the technical and economic confidence of the Feasibility Study is equivalent to that required by a financial institution.</w:t>
      </w:r>
    </w:p>
    <w:p w14:paraId="6AD64466" w14:textId="77777777" w:rsidR="000F379E" w:rsidRPr="00CD2EF9" w:rsidRDefault="000F379E" w:rsidP="00CD2EF9">
      <w:pPr>
        <w:pStyle w:val="Heading2"/>
      </w:pPr>
      <w:bookmarkStart w:id="14" w:name="_Toc244107627"/>
      <w:r w:rsidRPr="00CD2EF9">
        <w:t>Life of Mine Plan</w:t>
      </w:r>
      <w:bookmarkEnd w:id="14"/>
    </w:p>
    <w:p w14:paraId="7275233F" w14:textId="77777777" w:rsidR="000F379E" w:rsidRPr="0089311F" w:rsidRDefault="000F379E" w:rsidP="000F379E">
      <w:pPr>
        <w:widowControl/>
        <w:spacing w:after="220"/>
        <w:jc w:val="both"/>
      </w:pPr>
      <w:r w:rsidRPr="0089311F">
        <w:rPr>
          <w:b/>
          <w:bCs/>
        </w:rPr>
        <w:t xml:space="preserve">A “Life </w:t>
      </w:r>
      <w:proofErr w:type="gramStart"/>
      <w:r w:rsidRPr="0089311F">
        <w:rPr>
          <w:b/>
          <w:bCs/>
        </w:rPr>
        <w:t>Of</w:t>
      </w:r>
      <w:proofErr w:type="gramEnd"/>
      <w:r w:rsidRPr="0089311F">
        <w:rPr>
          <w:b/>
          <w:bCs/>
        </w:rPr>
        <w:t xml:space="preserve"> Mine Plan” is a technical and economic study for an existing operation that includes appropriately detailed assessments of Modifying Factors together with any other relevant operational factors, and a financial analysis, which demonstrate that continued extraction is reasonably justified.</w:t>
      </w:r>
    </w:p>
    <w:p w14:paraId="12D610A4" w14:textId="77777777" w:rsidR="000F379E" w:rsidRPr="0089311F" w:rsidRDefault="000F379E" w:rsidP="000F379E">
      <w:pPr>
        <w:widowControl/>
        <w:spacing w:after="220"/>
        <w:jc w:val="both"/>
      </w:pPr>
      <w:r w:rsidRPr="0089311F">
        <w:rPr>
          <w:b/>
          <w:bCs/>
        </w:rPr>
        <w:lastRenderedPageBreak/>
        <w:t xml:space="preserve">The information supporting a Life </w:t>
      </w:r>
      <w:proofErr w:type="gramStart"/>
      <w:r w:rsidRPr="0089311F">
        <w:rPr>
          <w:b/>
          <w:bCs/>
        </w:rPr>
        <w:t>Of</w:t>
      </w:r>
      <w:proofErr w:type="gramEnd"/>
      <w:r w:rsidRPr="0089311F">
        <w:rPr>
          <w:b/>
          <w:bCs/>
        </w:rPr>
        <w:t xml:space="preserve"> Mine Plan should be at least pre-feasibility level.</w:t>
      </w:r>
    </w:p>
    <w:p w14:paraId="43AA49E5" w14:textId="77777777" w:rsidR="000F379E" w:rsidRDefault="000F379E" w:rsidP="000F379E">
      <w:pPr>
        <w:widowControl/>
        <w:spacing w:after="220"/>
        <w:jc w:val="both"/>
      </w:pPr>
      <w:r w:rsidRPr="000F379E">
        <w:rPr>
          <w:i/>
          <w:iCs/>
        </w:rPr>
        <w:t xml:space="preserve">A Life </w:t>
      </w:r>
      <w:proofErr w:type="gramStart"/>
      <w:r w:rsidRPr="000F379E">
        <w:rPr>
          <w:i/>
          <w:iCs/>
        </w:rPr>
        <w:t>Of</w:t>
      </w:r>
      <w:proofErr w:type="gramEnd"/>
      <w:r w:rsidRPr="000F379E">
        <w:rPr>
          <w:i/>
          <w:iCs/>
        </w:rPr>
        <w:t xml:space="preserve"> Mine Plan is based on Mineral Reserves only.</w:t>
      </w:r>
    </w:p>
    <w:p w14:paraId="76E1C05D" w14:textId="77777777" w:rsidR="000F379E" w:rsidRDefault="000F379E" w:rsidP="000F379E">
      <w:pPr>
        <w:widowControl/>
        <w:spacing w:after="220"/>
        <w:jc w:val="both"/>
      </w:pPr>
      <w:r w:rsidRPr="000F379E">
        <w:rPr>
          <w:i/>
          <w:iCs/>
        </w:rPr>
        <w:t xml:space="preserve">A Life </w:t>
      </w:r>
      <w:proofErr w:type="gramStart"/>
      <w:r w:rsidRPr="000F379E">
        <w:rPr>
          <w:i/>
          <w:iCs/>
        </w:rPr>
        <w:t>Of</w:t>
      </w:r>
      <w:proofErr w:type="gramEnd"/>
      <w:r w:rsidRPr="000F379E">
        <w:rPr>
          <w:i/>
          <w:iCs/>
        </w:rPr>
        <w:t xml:space="preserve"> Mine Plan can include operations on care and maintenance, or those operations with production interruptions.</w:t>
      </w:r>
    </w:p>
    <w:p w14:paraId="4D9D9862" w14:textId="302E89A8" w:rsidR="000F379E" w:rsidRDefault="37603A5C" w:rsidP="2A454D1A">
      <w:pPr>
        <w:widowControl/>
        <w:spacing w:after="220"/>
        <w:jc w:val="both"/>
      </w:pPr>
      <w:r w:rsidRPr="2A454D1A">
        <w:rPr>
          <w:i/>
          <w:iCs/>
        </w:rPr>
        <w:t xml:space="preserve">A Life </w:t>
      </w:r>
      <w:proofErr w:type="gramStart"/>
      <w:r w:rsidRPr="2A454D1A">
        <w:rPr>
          <w:i/>
          <w:iCs/>
        </w:rPr>
        <w:t>Of</w:t>
      </w:r>
      <w:proofErr w:type="gramEnd"/>
      <w:r w:rsidRPr="2A454D1A">
        <w:rPr>
          <w:i/>
          <w:iCs/>
        </w:rPr>
        <w:t xml:space="preserve"> Mine Plan assesses the same Modifying Factors as a Pre-Feasibility or Feasibility </w:t>
      </w:r>
      <w:r w:rsidR="2B486E1A" w:rsidRPr="2A454D1A">
        <w:rPr>
          <w:i/>
          <w:iCs/>
        </w:rPr>
        <w:t>level of s</w:t>
      </w:r>
      <w:r w:rsidRPr="2A454D1A">
        <w:rPr>
          <w:i/>
          <w:iCs/>
        </w:rPr>
        <w:t>tudy. Typically</w:t>
      </w:r>
      <w:r w:rsidR="0275B334" w:rsidRPr="2A454D1A">
        <w:rPr>
          <w:i/>
          <w:iCs/>
        </w:rPr>
        <w:t>,</w:t>
      </w:r>
      <w:r w:rsidRPr="2A454D1A">
        <w:rPr>
          <w:i/>
          <w:iCs/>
        </w:rPr>
        <w:t xml:space="preserve"> such plans have inputs based on actual operations. A Life of Mine Plan for an operating mine may not require project execution plans, operational readiness plans, infrastructure studies, design and cost details for initial capital costs, internal rates of return, or payback periods.</w:t>
      </w:r>
    </w:p>
    <w:p w14:paraId="327C66B0" w14:textId="552DFFD2" w:rsidR="000F379E" w:rsidRDefault="000F379E">
      <w:pPr>
        <w:widowControl/>
        <w:spacing w:after="220"/>
        <w:jc w:val="both"/>
      </w:pPr>
      <w:r w:rsidRPr="000F379E">
        <w:rPr>
          <w:i/>
          <w:iCs/>
        </w:rPr>
        <w:t xml:space="preserve">The Life </w:t>
      </w:r>
      <w:proofErr w:type="gramStart"/>
      <w:r w:rsidRPr="000F379E">
        <w:rPr>
          <w:i/>
          <w:iCs/>
        </w:rPr>
        <w:t>Of</w:t>
      </w:r>
      <w:proofErr w:type="gramEnd"/>
      <w:r w:rsidRPr="000F379E">
        <w:rPr>
          <w:i/>
          <w:iCs/>
        </w:rPr>
        <w:t xml:space="preserve"> Mine Plan should be based on reliable technical, economic, and other relevant factors. Such factors can include: mineral tenure, surface, and water rights, property agreements and encumbrances; geology and mineralization; sampling; metallurgical and processing inputs including recovery forecasts and potentially deleterious elements; geotechnical, geochemical, and hydrological inputs; mining method and mine plan inputs including waste management; onsite and offsite infrastructure requirements; marketing and contract inputs, including commodity price forecasts; environmental, social, and permitting inputs; capital, operating, and closure cost estimates; economic analysis based on an annualized mine plan that includes applicable taxes and royalties; and governmental factors.</w:t>
      </w:r>
    </w:p>
    <w:p w14:paraId="1D3A9C2A" w14:textId="77777777" w:rsidR="00100CD8" w:rsidRDefault="00862029">
      <w:pPr>
        <w:pStyle w:val="Heading2"/>
      </w:pPr>
      <w:bookmarkStart w:id="15" w:name="Mineral_Resource"/>
      <w:bookmarkStart w:id="16" w:name="_Toc244107628"/>
      <w:bookmarkEnd w:id="15"/>
      <w:r>
        <w:t>Mineral Resource</w:t>
      </w:r>
      <w:bookmarkEnd w:id="16"/>
    </w:p>
    <w:p w14:paraId="1D3A9C2B" w14:textId="54748F21" w:rsidR="00100CD8" w:rsidRDefault="00862029">
      <w:pPr>
        <w:widowControl/>
        <w:spacing w:after="220"/>
        <w:jc w:val="both"/>
      </w:pPr>
      <w:r w:rsidRPr="00C119B1">
        <w:rPr>
          <w:i/>
          <w:iCs/>
        </w:rPr>
        <w:t xml:space="preserve">Mineral Resources are sub-divided, in order of increasing confidence, into </w:t>
      </w:r>
      <w:r w:rsidR="003D4525" w:rsidRPr="007861CA">
        <w:rPr>
          <w:i/>
          <w:iCs/>
        </w:rPr>
        <w:t>I</w:t>
      </w:r>
      <w:r w:rsidRPr="00C119B1">
        <w:rPr>
          <w:i/>
          <w:iCs/>
        </w:rPr>
        <w:t xml:space="preserve">nferred, </w:t>
      </w:r>
      <w:r w:rsidR="003D4525" w:rsidRPr="007861CA">
        <w:rPr>
          <w:i/>
          <w:iCs/>
        </w:rPr>
        <w:t>I</w:t>
      </w:r>
      <w:r w:rsidRPr="00C119B1">
        <w:rPr>
          <w:i/>
          <w:iCs/>
        </w:rPr>
        <w:t xml:space="preserve">ndicated and </w:t>
      </w:r>
      <w:r w:rsidR="003D4525" w:rsidRPr="007861CA">
        <w:rPr>
          <w:i/>
          <w:iCs/>
        </w:rPr>
        <w:t>M</w:t>
      </w:r>
      <w:r w:rsidRPr="00C119B1">
        <w:rPr>
          <w:i/>
          <w:iCs/>
        </w:rPr>
        <w:t>easured categories</w:t>
      </w:r>
    </w:p>
    <w:p w14:paraId="1D3A9C2D" w14:textId="24FBE43F" w:rsidR="00100CD8" w:rsidRDefault="00862029">
      <w:pPr>
        <w:widowControl/>
        <w:spacing w:after="220"/>
        <w:jc w:val="both"/>
      </w:pPr>
      <w:r>
        <w:rPr>
          <w:b/>
          <w:bCs/>
        </w:rPr>
        <w:t>A Mineral Resource is a concentration or occurrence of material of economic interest in or on the earth’s crust in such form, grade or quality and quantity that there are reasonable prospects for economic extraction.</w:t>
      </w:r>
    </w:p>
    <w:p w14:paraId="1D3A9C2F" w14:textId="77777777" w:rsidR="00100CD8" w:rsidRDefault="00862029">
      <w:pPr>
        <w:widowControl/>
        <w:spacing w:after="220"/>
        <w:jc w:val="both"/>
      </w:pPr>
      <w:r>
        <w:rPr>
          <w:b/>
          <w:bCs/>
        </w:rPr>
        <w:t>The location, quantity, grade or quality, continuity and other geological characteristics of a Mineral Resource are known, estimated or interpreted from specific geological evidence and knowledge, including sampling.</w:t>
      </w:r>
    </w:p>
    <w:p w14:paraId="1D3A9C33" w14:textId="2AA589E7" w:rsidR="00100CD8" w:rsidRDefault="18550EE6" w:rsidP="2A454D1A">
      <w:pPr>
        <w:widowControl/>
        <w:spacing w:after="220"/>
        <w:jc w:val="both"/>
      </w:pPr>
      <w:r>
        <w:rPr>
          <w:i/>
          <w:iCs/>
        </w:rPr>
        <w:t xml:space="preserve">The term Mineral Resource covers mineralization and material of intrinsic economic interest which has been identified and estimated through exploration and sampling and within which </w:t>
      </w:r>
      <w:r w:rsidRPr="2A454D1A">
        <w:rPr>
          <w:i/>
          <w:iCs/>
          <w:u w:val="single"/>
        </w:rPr>
        <w:t>Mineral Reserves</w:t>
      </w:r>
      <w:r>
        <w:rPr>
          <w:i/>
          <w:iCs/>
        </w:rPr>
        <w:t xml:space="preserve"> may subsequently be defined by the consideration and application of </w:t>
      </w:r>
      <w:r w:rsidRPr="2A454D1A">
        <w:rPr>
          <w:i/>
          <w:iCs/>
          <w:u w:val="single"/>
        </w:rPr>
        <w:t>Modifying Factors</w:t>
      </w:r>
      <w:r>
        <w:rPr>
          <w:i/>
          <w:iCs/>
        </w:rPr>
        <w:t xml:space="preserve">. The phrase ‘reasonable prospects for economic extraction’ implies a judgment by the </w:t>
      </w:r>
      <w:r w:rsidR="007E1296">
        <w:rPr>
          <w:i/>
          <w:iCs/>
        </w:rPr>
        <w:t>P</w:t>
      </w:r>
      <w:r w:rsidR="13EA63FF" w:rsidRPr="2A454D1A">
        <w:rPr>
          <w:i/>
          <w:iCs/>
          <w:u w:val="double"/>
        </w:rPr>
        <w:t>ractitioner</w:t>
      </w:r>
      <w:r>
        <w:rPr>
          <w:i/>
          <w:iCs/>
        </w:rPr>
        <w:t xml:space="preserve"> in respect of the technical and economic factors likely to influence the prospect of economic extraction. The </w:t>
      </w:r>
      <w:proofErr w:type="gramStart"/>
      <w:r w:rsidR="007E1296">
        <w:rPr>
          <w:i/>
          <w:iCs/>
        </w:rPr>
        <w:t>P</w:t>
      </w:r>
      <w:r w:rsidR="40862B44" w:rsidRPr="2A454D1A">
        <w:rPr>
          <w:i/>
          <w:iCs/>
          <w:u w:val="double"/>
        </w:rPr>
        <w:t>ractitioner</w:t>
      </w:r>
      <w:r w:rsidR="6ADE3FDD">
        <w:rPr>
          <w:i/>
          <w:iCs/>
        </w:rPr>
        <w:t xml:space="preserve"> </w:t>
      </w:r>
      <w:r>
        <w:rPr>
          <w:i/>
          <w:iCs/>
        </w:rPr>
        <w:t xml:space="preserve"> should</w:t>
      </w:r>
      <w:proofErr w:type="gramEnd"/>
      <w:r>
        <w:rPr>
          <w:i/>
          <w:iCs/>
        </w:rPr>
        <w:t xml:space="preserve"> consider and </w:t>
      </w:r>
      <w:r w:rsidR="7EE54D00">
        <w:rPr>
          <w:i/>
          <w:iCs/>
        </w:rPr>
        <w:t xml:space="preserve">document </w:t>
      </w:r>
      <w:r>
        <w:rPr>
          <w:i/>
          <w:iCs/>
        </w:rPr>
        <w:t xml:space="preserve">the basis for determining that the material has reasonable prospects for economic extraction. Assumptions should include estimates of </w:t>
      </w:r>
      <w:r w:rsidR="4E6AE71C">
        <w:rPr>
          <w:i/>
          <w:iCs/>
        </w:rPr>
        <w:t xml:space="preserve">economic </w:t>
      </w:r>
      <w:r>
        <w:rPr>
          <w:i/>
          <w:iCs/>
        </w:rPr>
        <w:t>cutoff and geological continuity at the selected cut-off, metallurgical recovery, smelter payments, commodity price or product value, mining and processing method and mining, processing and general and administrative costs</w:t>
      </w:r>
      <w:proofErr w:type="gramStart"/>
      <w:r>
        <w:rPr>
          <w:i/>
          <w:iCs/>
        </w:rPr>
        <w:t>. .</w:t>
      </w:r>
      <w:proofErr w:type="gramEnd"/>
    </w:p>
    <w:p w14:paraId="1D3A9C38" w14:textId="77777777" w:rsidR="00100CD8" w:rsidRDefault="00862029">
      <w:pPr>
        <w:pStyle w:val="Heading2"/>
      </w:pPr>
      <w:bookmarkStart w:id="17" w:name="Inferred_Mineral_Resource"/>
      <w:bookmarkStart w:id="18" w:name="_Toc244107629"/>
      <w:bookmarkEnd w:id="17"/>
      <w:r>
        <w:t>Inferred Mineral Resource</w:t>
      </w:r>
      <w:bookmarkEnd w:id="18"/>
    </w:p>
    <w:p w14:paraId="1D3A9C39" w14:textId="5152D899" w:rsidR="00100CD8" w:rsidRDefault="00862029">
      <w:pPr>
        <w:widowControl/>
        <w:spacing w:after="220"/>
        <w:jc w:val="both"/>
      </w:pPr>
      <w:r>
        <w:rPr>
          <w:b/>
          <w:bCs/>
        </w:rPr>
        <w:t xml:space="preserve">An Inferred Mineral Resource is that part of a </w:t>
      </w:r>
      <w:r>
        <w:rPr>
          <w:b/>
          <w:bCs/>
          <w:u w:val="single"/>
        </w:rPr>
        <w:t>Mineral Resource</w:t>
      </w:r>
      <w:r>
        <w:rPr>
          <w:b/>
          <w:bCs/>
        </w:rPr>
        <w:t xml:space="preserve"> for which quantity and grade or quality are estimated </w:t>
      </w:r>
      <w:proofErr w:type="gramStart"/>
      <w:r>
        <w:rPr>
          <w:b/>
          <w:bCs/>
        </w:rPr>
        <w:t>on the basis of</w:t>
      </w:r>
      <w:proofErr w:type="gramEnd"/>
      <w:r>
        <w:rPr>
          <w:b/>
          <w:bCs/>
        </w:rPr>
        <w:t xml:space="preserve"> limited geological evidence and sampling. Geological evidence is sufficient to </w:t>
      </w:r>
      <w:r w:rsidR="00002D3C">
        <w:rPr>
          <w:b/>
          <w:bCs/>
        </w:rPr>
        <w:t>infer</w:t>
      </w:r>
      <w:r>
        <w:rPr>
          <w:b/>
          <w:bCs/>
        </w:rPr>
        <w:t xml:space="preserve"> but not </w:t>
      </w:r>
      <w:r w:rsidR="00002D3C">
        <w:rPr>
          <w:b/>
          <w:bCs/>
        </w:rPr>
        <w:t>demonstrate</w:t>
      </w:r>
      <w:r>
        <w:rPr>
          <w:b/>
          <w:bCs/>
        </w:rPr>
        <w:t xml:space="preserve"> geological and grade or quality continuity.</w:t>
      </w:r>
    </w:p>
    <w:p w14:paraId="1D3A9C3C" w14:textId="724C46E9" w:rsidR="00100CD8" w:rsidRDefault="00862029" w:rsidP="007861CA">
      <w:pPr>
        <w:widowControl/>
        <w:spacing w:after="220"/>
        <w:jc w:val="both"/>
      </w:pPr>
      <w:r>
        <w:rPr>
          <w:b/>
          <w:bCs/>
        </w:rPr>
        <w:t xml:space="preserve">An Inferred Mineral Resource has a lower level of confidence than that applying to an </w:t>
      </w:r>
      <w:r>
        <w:rPr>
          <w:b/>
          <w:bCs/>
          <w:u w:val="single"/>
        </w:rPr>
        <w:t>Indicated</w:t>
      </w:r>
      <w:r>
        <w:rPr>
          <w:b/>
          <w:bCs/>
        </w:rPr>
        <w:t xml:space="preserve"> </w:t>
      </w:r>
      <w:r>
        <w:rPr>
          <w:b/>
          <w:bCs/>
          <w:u w:val="single"/>
        </w:rPr>
        <w:t>Mineral Resource</w:t>
      </w:r>
      <w:r>
        <w:rPr>
          <w:b/>
          <w:bCs/>
        </w:rPr>
        <w:t xml:space="preserve"> and must not be converted to a </w:t>
      </w:r>
      <w:r>
        <w:rPr>
          <w:b/>
          <w:bCs/>
          <w:u w:val="single"/>
        </w:rPr>
        <w:t>Mineral Reserve</w:t>
      </w:r>
      <w:r>
        <w:rPr>
          <w:b/>
          <w:bCs/>
        </w:rPr>
        <w:t xml:space="preserve">. It is reasonably expected that the majority of </w:t>
      </w:r>
      <w:r>
        <w:rPr>
          <w:b/>
          <w:bCs/>
        </w:rPr>
        <w:lastRenderedPageBreak/>
        <w:t xml:space="preserve">Inferred Mineral Resources could be upgraded to </w:t>
      </w:r>
      <w:r>
        <w:rPr>
          <w:b/>
          <w:bCs/>
          <w:u w:val="single"/>
        </w:rPr>
        <w:t>Indicated Mineral Resources</w:t>
      </w:r>
      <w:r>
        <w:rPr>
          <w:b/>
          <w:bCs/>
        </w:rPr>
        <w:t xml:space="preserve"> with continued exploration.</w:t>
      </w:r>
    </w:p>
    <w:p w14:paraId="28220F97" w14:textId="00806322" w:rsidR="00CE2A8E" w:rsidRDefault="00862029">
      <w:pPr>
        <w:widowControl/>
        <w:spacing w:after="220"/>
        <w:jc w:val="both"/>
      </w:pPr>
      <w:r>
        <w:rPr>
          <w:i/>
          <w:iCs/>
        </w:rPr>
        <w:t xml:space="preserve">An Inferred Mineral Resource is based on limited information and sampling gathered through appropriate sampling techniques from locations such as outcrops, trenches, pits, workings and drill holes. </w:t>
      </w:r>
    </w:p>
    <w:p w14:paraId="1D3A9C40" w14:textId="3BE4F53A" w:rsidR="00100CD8" w:rsidRDefault="00862029">
      <w:pPr>
        <w:widowControl/>
        <w:spacing w:after="220"/>
        <w:jc w:val="both"/>
      </w:pPr>
      <w:r>
        <w:rPr>
          <w:i/>
          <w:iCs/>
        </w:rPr>
        <w:t xml:space="preserve">There may be circumstances, where appropriate sampling, testing, and other measurements are sufficient to demonstrate data integrity, geological and grade/quality continuity of a </w:t>
      </w:r>
      <w:r w:rsidR="00002D3C">
        <w:rPr>
          <w:i/>
          <w:iCs/>
          <w:u w:val="single"/>
        </w:rPr>
        <w:t>M</w:t>
      </w:r>
      <w:r>
        <w:rPr>
          <w:i/>
          <w:iCs/>
          <w:u w:val="single"/>
        </w:rPr>
        <w:t>easured</w:t>
      </w:r>
      <w:r>
        <w:rPr>
          <w:i/>
          <w:iCs/>
        </w:rPr>
        <w:t xml:space="preserve"> or </w:t>
      </w:r>
      <w:r>
        <w:rPr>
          <w:i/>
          <w:iCs/>
          <w:u w:val="single"/>
        </w:rPr>
        <w:t xml:space="preserve">Indicated </w:t>
      </w:r>
      <w:proofErr w:type="gramStart"/>
      <w:r>
        <w:rPr>
          <w:i/>
          <w:iCs/>
          <w:u w:val="single"/>
        </w:rPr>
        <w:t xml:space="preserve">Mineral </w:t>
      </w:r>
      <w:r>
        <w:rPr>
          <w:i/>
          <w:iCs/>
        </w:rPr>
        <w:t xml:space="preserve"> </w:t>
      </w:r>
      <w:r>
        <w:rPr>
          <w:i/>
          <w:iCs/>
          <w:u w:val="single"/>
        </w:rPr>
        <w:t>Resource</w:t>
      </w:r>
      <w:proofErr w:type="gramEnd"/>
      <w:r>
        <w:rPr>
          <w:i/>
          <w:iCs/>
        </w:rPr>
        <w:t xml:space="preserve">, however, quality assurance and quality control, or other information may not meet all industry norms for the disclosure of an </w:t>
      </w:r>
      <w:r w:rsidR="00002D3C">
        <w:rPr>
          <w:i/>
          <w:iCs/>
          <w:u w:val="single"/>
        </w:rPr>
        <w:t>I</w:t>
      </w:r>
      <w:r>
        <w:rPr>
          <w:i/>
          <w:iCs/>
          <w:u w:val="single"/>
        </w:rPr>
        <w:t>ndicated or Measured Mineral Resource</w:t>
      </w:r>
      <w:r>
        <w:rPr>
          <w:i/>
          <w:iCs/>
        </w:rPr>
        <w:t>. Under these circumstances, it may be reasonable for the</w:t>
      </w:r>
      <w:r w:rsidR="00A520D6">
        <w:rPr>
          <w:i/>
          <w:iCs/>
        </w:rPr>
        <w:t xml:space="preserve"> </w:t>
      </w:r>
      <w:r w:rsidR="002A2397">
        <w:rPr>
          <w:i/>
          <w:iCs/>
        </w:rPr>
        <w:t>Practitioner</w:t>
      </w:r>
      <w:r>
        <w:rPr>
          <w:i/>
          <w:iCs/>
        </w:rPr>
        <w:t xml:space="preserve"> to report an Inferred Mineral Resource if the </w:t>
      </w:r>
      <w:r w:rsidR="006011D8">
        <w:rPr>
          <w:i/>
          <w:iCs/>
        </w:rPr>
        <w:t>Practitioner</w:t>
      </w:r>
      <w:r>
        <w:rPr>
          <w:i/>
          <w:iCs/>
        </w:rPr>
        <w:t xml:space="preserve"> has taken steps to verify the information meets the requirements of an Inferred Mineral Resource.</w:t>
      </w:r>
    </w:p>
    <w:p w14:paraId="1D3A9C42" w14:textId="77777777" w:rsidR="00100CD8" w:rsidRDefault="00862029">
      <w:pPr>
        <w:pStyle w:val="Heading2"/>
      </w:pPr>
      <w:bookmarkStart w:id="19" w:name="Indicated_Mineral_Resource"/>
      <w:bookmarkStart w:id="20" w:name="_Toc244107630"/>
      <w:bookmarkEnd w:id="19"/>
      <w:r>
        <w:t>Indicated Mineral Resource</w:t>
      </w:r>
      <w:bookmarkEnd w:id="20"/>
    </w:p>
    <w:p w14:paraId="1D3A9C43" w14:textId="77777777" w:rsidR="00100CD8" w:rsidRDefault="00862029">
      <w:pPr>
        <w:widowControl/>
        <w:spacing w:after="220"/>
        <w:jc w:val="both"/>
      </w:pPr>
      <w:r>
        <w:rPr>
          <w:b/>
          <w:bCs/>
        </w:rPr>
        <w:t xml:space="preserve">An Indicated Mineral Resource is that part of a </w:t>
      </w:r>
      <w:r>
        <w:rPr>
          <w:b/>
          <w:bCs/>
          <w:u w:val="single"/>
        </w:rPr>
        <w:t>Mineral Resource</w:t>
      </w:r>
      <w:r>
        <w:rPr>
          <w:b/>
          <w:bCs/>
        </w:rPr>
        <w:t xml:space="preserve"> for which quantity, grade or quality, densities, shape and physical characteristics are estimated with sufficient confidence to allow the application of </w:t>
      </w:r>
      <w:r>
        <w:rPr>
          <w:b/>
          <w:bCs/>
          <w:u w:val="single"/>
        </w:rPr>
        <w:t>Modifying Factors</w:t>
      </w:r>
      <w:r>
        <w:rPr>
          <w:b/>
          <w:bCs/>
        </w:rPr>
        <w:t xml:space="preserve"> in sufficient detail to support mine planning and evaluation of the economic viability of the deposit.</w:t>
      </w:r>
    </w:p>
    <w:p w14:paraId="1D3A9C45" w14:textId="77777777" w:rsidR="00100CD8" w:rsidRDefault="00862029">
      <w:pPr>
        <w:widowControl/>
        <w:spacing w:after="220"/>
        <w:jc w:val="both"/>
      </w:pPr>
      <w:r>
        <w:rPr>
          <w:b/>
          <w:bCs/>
        </w:rPr>
        <w:t>Geological evidence is derived from adequately detailed and reliable exploration, sampling and testing and is sufficient to assume geological and grade or quality continuity between points of observation.</w:t>
      </w:r>
    </w:p>
    <w:p w14:paraId="1D3A9C46" w14:textId="77777777" w:rsidR="00100CD8" w:rsidRDefault="00862029">
      <w:pPr>
        <w:widowControl/>
        <w:spacing w:after="220"/>
        <w:jc w:val="both"/>
      </w:pPr>
      <w:r>
        <w:rPr>
          <w:b/>
          <w:bCs/>
        </w:rPr>
        <w:t xml:space="preserve">An Indicated Mineral Resource has a lower level of confidence than that applying to a </w:t>
      </w:r>
      <w:r>
        <w:rPr>
          <w:b/>
          <w:bCs/>
          <w:u w:val="single"/>
        </w:rPr>
        <w:t>Measured</w:t>
      </w:r>
      <w:r>
        <w:rPr>
          <w:b/>
          <w:bCs/>
        </w:rPr>
        <w:t xml:space="preserve"> </w:t>
      </w:r>
      <w:r>
        <w:rPr>
          <w:b/>
          <w:bCs/>
          <w:u w:val="single"/>
        </w:rPr>
        <w:t>Mineral Resource</w:t>
      </w:r>
      <w:r>
        <w:rPr>
          <w:b/>
          <w:bCs/>
        </w:rPr>
        <w:t xml:space="preserve"> and may only be converted to a </w:t>
      </w:r>
      <w:r>
        <w:rPr>
          <w:b/>
          <w:bCs/>
          <w:u w:val="single"/>
        </w:rPr>
        <w:t>Probable Mineral Reserve</w:t>
      </w:r>
      <w:r>
        <w:rPr>
          <w:b/>
          <w:bCs/>
        </w:rPr>
        <w:t>.</w:t>
      </w:r>
    </w:p>
    <w:p w14:paraId="35640EE8" w14:textId="1BC006FE" w:rsidR="00404B1F" w:rsidRDefault="00862029">
      <w:pPr>
        <w:widowControl/>
        <w:spacing w:after="220"/>
        <w:jc w:val="both"/>
      </w:pPr>
      <w:r>
        <w:rPr>
          <w:i/>
          <w:iCs/>
        </w:rPr>
        <w:t xml:space="preserve">Mineralization may be classified as an Indicated Mineral Resource by the </w:t>
      </w:r>
      <w:r w:rsidR="00577AF7">
        <w:rPr>
          <w:i/>
          <w:iCs/>
          <w:u w:val="double"/>
        </w:rPr>
        <w:t>Practitioner</w:t>
      </w:r>
      <w:r>
        <w:rPr>
          <w:i/>
          <w:iCs/>
        </w:rPr>
        <w:t xml:space="preserve"> when the nature, quality, quantity and distribution of data are such as to allow confident interpretation of the geological framework and to reasonably assume the continuity of </w:t>
      </w:r>
      <w:proofErr w:type="gramStart"/>
      <w:r>
        <w:rPr>
          <w:i/>
          <w:iCs/>
        </w:rPr>
        <w:t>mineralization..</w:t>
      </w:r>
      <w:proofErr w:type="gramEnd"/>
      <w:r>
        <w:rPr>
          <w:i/>
          <w:iCs/>
        </w:rPr>
        <w:t xml:space="preserve"> </w:t>
      </w:r>
      <w:r w:rsidRPr="0031030A">
        <w:t xml:space="preserve">An Indicated Mineral Resource estimate is of sufficient quality to support a </w:t>
      </w:r>
      <w:r w:rsidRPr="0031030A">
        <w:rPr>
          <w:u w:val="single"/>
        </w:rPr>
        <w:t>Pre-Feasibility Study</w:t>
      </w:r>
      <w:r w:rsidR="00CA31C7" w:rsidRPr="007861CA">
        <w:rPr>
          <w:u w:val="single"/>
        </w:rPr>
        <w:t>.</w:t>
      </w:r>
      <w:r w:rsidRPr="00CA31C7">
        <w:t xml:space="preserve"> </w:t>
      </w:r>
    </w:p>
    <w:p w14:paraId="1D3A9C4A" w14:textId="77777777" w:rsidR="00100CD8" w:rsidRDefault="00862029">
      <w:pPr>
        <w:pStyle w:val="Heading2"/>
      </w:pPr>
      <w:bookmarkStart w:id="21" w:name="Measured_Mineral_Resource"/>
      <w:bookmarkStart w:id="22" w:name="_Toc244107631"/>
      <w:bookmarkEnd w:id="21"/>
      <w:r>
        <w:t>Measured Mineral Resource</w:t>
      </w:r>
      <w:bookmarkEnd w:id="22"/>
    </w:p>
    <w:p w14:paraId="1D3A9C4B" w14:textId="0D7A2787" w:rsidR="00100CD8" w:rsidRDefault="00862029">
      <w:pPr>
        <w:widowControl/>
        <w:spacing w:after="220"/>
        <w:jc w:val="both"/>
      </w:pPr>
      <w:r>
        <w:rPr>
          <w:b/>
          <w:bCs/>
        </w:rPr>
        <w:t xml:space="preserve">A Measured Mineral Resource is that part of a </w:t>
      </w:r>
      <w:r>
        <w:rPr>
          <w:b/>
          <w:bCs/>
          <w:u w:val="single"/>
        </w:rPr>
        <w:t>Mineral Resource</w:t>
      </w:r>
      <w:r>
        <w:rPr>
          <w:b/>
          <w:bCs/>
        </w:rPr>
        <w:t xml:space="preserve"> for which quantity, grade or quality, densities, shape, and physical characteristics are estimated with confidence sufficient to allow the application of </w:t>
      </w:r>
      <w:r>
        <w:rPr>
          <w:b/>
          <w:bCs/>
          <w:u w:val="single"/>
        </w:rPr>
        <w:t>Modifying Factors</w:t>
      </w:r>
      <w:r>
        <w:rPr>
          <w:b/>
          <w:bCs/>
        </w:rPr>
        <w:t xml:space="preserve"> to support detailed mine planning and evaluation of the economic viability of the deposit.</w:t>
      </w:r>
    </w:p>
    <w:p w14:paraId="1D3A9C4D" w14:textId="224B2F40" w:rsidR="00100CD8" w:rsidRDefault="00862029">
      <w:pPr>
        <w:widowControl/>
        <w:spacing w:after="220"/>
        <w:jc w:val="both"/>
      </w:pPr>
      <w:r>
        <w:rPr>
          <w:b/>
          <w:bCs/>
        </w:rPr>
        <w:t xml:space="preserve">Geological evidence is derived from detailed and reliable exploration, sampling and testing and is sufficient to </w:t>
      </w:r>
      <w:r w:rsidR="00B938AF">
        <w:rPr>
          <w:b/>
          <w:bCs/>
        </w:rPr>
        <w:t>support high confidence</w:t>
      </w:r>
      <w:r w:rsidR="007B0F3B">
        <w:rPr>
          <w:b/>
          <w:bCs/>
        </w:rPr>
        <w:t xml:space="preserve"> in the</w:t>
      </w:r>
      <w:r>
        <w:rPr>
          <w:b/>
          <w:bCs/>
        </w:rPr>
        <w:t xml:space="preserve"> geological and grade or quality continuity between points of observation.</w:t>
      </w:r>
    </w:p>
    <w:p w14:paraId="1D3A9C4E" w14:textId="73B47E67" w:rsidR="00100CD8" w:rsidRDefault="00862029">
      <w:pPr>
        <w:widowControl/>
        <w:spacing w:after="220"/>
        <w:jc w:val="both"/>
      </w:pPr>
      <w:r>
        <w:rPr>
          <w:b/>
          <w:bCs/>
        </w:rPr>
        <w:t xml:space="preserve">A Measured Mineral Resource has a higher level of confidence than that applying to either an </w:t>
      </w:r>
      <w:proofErr w:type="gramStart"/>
      <w:r>
        <w:rPr>
          <w:b/>
          <w:bCs/>
          <w:u w:val="single"/>
        </w:rPr>
        <w:t xml:space="preserve">Indicated </w:t>
      </w:r>
      <w:r>
        <w:rPr>
          <w:b/>
          <w:bCs/>
        </w:rPr>
        <w:t xml:space="preserve"> </w:t>
      </w:r>
      <w:r>
        <w:rPr>
          <w:b/>
          <w:bCs/>
          <w:u w:val="single"/>
        </w:rPr>
        <w:t>Mineral</w:t>
      </w:r>
      <w:proofErr w:type="gramEnd"/>
      <w:r>
        <w:rPr>
          <w:b/>
          <w:bCs/>
          <w:u w:val="single"/>
        </w:rPr>
        <w:t xml:space="preserve"> Resource</w:t>
      </w:r>
      <w:r>
        <w:rPr>
          <w:b/>
          <w:bCs/>
        </w:rPr>
        <w:t xml:space="preserve"> or an </w:t>
      </w:r>
      <w:r>
        <w:rPr>
          <w:b/>
          <w:bCs/>
          <w:u w:val="single"/>
        </w:rPr>
        <w:t>Inferred Mineral Resource</w:t>
      </w:r>
      <w:r>
        <w:rPr>
          <w:b/>
          <w:bCs/>
        </w:rPr>
        <w:t xml:space="preserve">. It may be converted to a </w:t>
      </w:r>
      <w:r>
        <w:rPr>
          <w:b/>
          <w:bCs/>
          <w:u w:val="single"/>
        </w:rPr>
        <w:t>Proven Mineral Reserve</w:t>
      </w:r>
      <w:r>
        <w:rPr>
          <w:b/>
          <w:bCs/>
        </w:rPr>
        <w:t xml:space="preserve"> or to a </w:t>
      </w:r>
      <w:r>
        <w:rPr>
          <w:b/>
          <w:bCs/>
          <w:u w:val="single"/>
        </w:rPr>
        <w:t>Probable Mineral Reserve</w:t>
      </w:r>
      <w:r>
        <w:rPr>
          <w:b/>
          <w:bCs/>
        </w:rPr>
        <w:t>.</w:t>
      </w:r>
    </w:p>
    <w:p w14:paraId="1D3A9C4F" w14:textId="2B2E5A7B" w:rsidR="00100CD8" w:rsidRDefault="18550EE6" w:rsidP="2A454D1A">
      <w:pPr>
        <w:widowControl/>
        <w:spacing w:after="220"/>
        <w:jc w:val="both"/>
      </w:pPr>
      <w:r>
        <w:rPr>
          <w:i/>
          <w:iCs/>
        </w:rPr>
        <w:t xml:space="preserve">Mineralization or other natural material of economic interest may be classified as a Measured Mineral Resource by the </w:t>
      </w:r>
      <w:r w:rsidR="7BE6AD64">
        <w:rPr>
          <w:i/>
          <w:iCs/>
        </w:rPr>
        <w:t>practitioner</w:t>
      </w:r>
      <w:r>
        <w:rPr>
          <w:i/>
          <w:iCs/>
        </w:rPr>
        <w:t xml:space="preserve"> when the nature, quality, quantity and distribution of data are such that the tonnage and grade or quality of the mineralization can be estimated to within close limits and that variation from the estimate would not significantly affect potential economic viability of the deposit. This category requires a high level of confidence in, and understanding of, the geology and controls of the mineral deposit</w:t>
      </w:r>
      <w:r w:rsidR="33BE7EDA">
        <w:rPr>
          <w:i/>
          <w:iCs/>
        </w:rPr>
        <w:t xml:space="preserve"> as well as the technical</w:t>
      </w:r>
      <w:r w:rsidR="6D8F45A0">
        <w:rPr>
          <w:i/>
          <w:iCs/>
        </w:rPr>
        <w:t xml:space="preserve">, </w:t>
      </w:r>
      <w:r w:rsidR="33BE7EDA">
        <w:rPr>
          <w:i/>
          <w:iCs/>
        </w:rPr>
        <w:t>economic</w:t>
      </w:r>
      <w:r w:rsidR="6DBC0824">
        <w:rPr>
          <w:i/>
          <w:iCs/>
        </w:rPr>
        <w:t>,</w:t>
      </w:r>
      <w:r w:rsidR="33BE7EDA">
        <w:rPr>
          <w:i/>
          <w:iCs/>
        </w:rPr>
        <w:t xml:space="preserve"> </w:t>
      </w:r>
      <w:r w:rsidR="2C657C73">
        <w:rPr>
          <w:i/>
          <w:iCs/>
        </w:rPr>
        <w:t xml:space="preserve">and other </w:t>
      </w:r>
      <w:r w:rsidR="33BE7EDA">
        <w:rPr>
          <w:i/>
          <w:iCs/>
        </w:rPr>
        <w:t xml:space="preserve">considerations applied to the </w:t>
      </w:r>
      <w:r w:rsidR="311DB629">
        <w:rPr>
          <w:i/>
          <w:iCs/>
        </w:rPr>
        <w:t>mineral resource</w:t>
      </w:r>
      <w:r>
        <w:rPr>
          <w:i/>
          <w:iCs/>
        </w:rPr>
        <w:t>.</w:t>
      </w:r>
    </w:p>
    <w:p w14:paraId="1D3A9C51" w14:textId="77777777" w:rsidR="00100CD8" w:rsidRDefault="00862029">
      <w:pPr>
        <w:pStyle w:val="Heading2"/>
      </w:pPr>
      <w:bookmarkStart w:id="23" w:name="Modifying_Factors"/>
      <w:bookmarkStart w:id="24" w:name="_Toc244107632"/>
      <w:bookmarkEnd w:id="23"/>
      <w:r>
        <w:lastRenderedPageBreak/>
        <w:t>Modifying Factors</w:t>
      </w:r>
      <w:bookmarkEnd w:id="24"/>
    </w:p>
    <w:p w14:paraId="1D3A9C52" w14:textId="39606F7C" w:rsidR="00100CD8" w:rsidRDefault="00862029">
      <w:pPr>
        <w:widowControl/>
        <w:spacing w:after="220"/>
        <w:jc w:val="both"/>
      </w:pPr>
      <w:r>
        <w:rPr>
          <w:b/>
          <w:bCs/>
        </w:rPr>
        <w:t xml:space="preserve">Modifying Factors are considerations used to convert </w:t>
      </w:r>
      <w:r w:rsidRPr="72D3C8C8">
        <w:rPr>
          <w:b/>
          <w:bCs/>
          <w:u w:val="single"/>
        </w:rPr>
        <w:t>Mineral Resources</w:t>
      </w:r>
      <w:r>
        <w:rPr>
          <w:b/>
          <w:bCs/>
        </w:rPr>
        <w:t xml:space="preserve"> to </w:t>
      </w:r>
      <w:r w:rsidRPr="72D3C8C8">
        <w:rPr>
          <w:b/>
          <w:bCs/>
          <w:u w:val="single"/>
        </w:rPr>
        <w:t>Mineral Reserves</w:t>
      </w:r>
      <w:r>
        <w:rPr>
          <w:b/>
          <w:bCs/>
        </w:rPr>
        <w:t xml:space="preserve">. These include, but are not </w:t>
      </w:r>
      <w:r w:rsidR="00CA204C">
        <w:rPr>
          <w:b/>
          <w:bCs/>
        </w:rPr>
        <w:t>limited</w:t>
      </w:r>
      <w:r>
        <w:rPr>
          <w:b/>
          <w:bCs/>
        </w:rPr>
        <w:t xml:space="preserve"> to, mining, processing, metallurgical, infrastructure, economic, marketing, legal, environmental, social and governmental factors.</w:t>
      </w:r>
    </w:p>
    <w:p w14:paraId="13EB99AD" w14:textId="443CA04A" w:rsidR="11527612" w:rsidRDefault="003452D5" w:rsidP="2A454D1A">
      <w:pPr>
        <w:widowControl/>
        <w:spacing w:after="220"/>
        <w:jc w:val="both"/>
      </w:pPr>
      <w:r>
        <w:rPr>
          <w:b/>
          <w:bCs/>
          <w:i/>
          <w:iCs/>
        </w:rPr>
        <w:t xml:space="preserve">Further guidance on </w:t>
      </w:r>
      <w:r w:rsidR="00A15F15">
        <w:rPr>
          <w:b/>
          <w:bCs/>
          <w:i/>
          <w:iCs/>
        </w:rPr>
        <w:t xml:space="preserve">the application of </w:t>
      </w:r>
      <w:r>
        <w:rPr>
          <w:b/>
          <w:bCs/>
          <w:i/>
          <w:iCs/>
        </w:rPr>
        <w:t xml:space="preserve">Modifying Factors is described </w:t>
      </w:r>
      <w:r w:rsidR="00C02175">
        <w:rPr>
          <w:b/>
          <w:bCs/>
          <w:i/>
          <w:iCs/>
        </w:rPr>
        <w:t xml:space="preserve">under the Reserves section </w:t>
      </w:r>
      <w:r>
        <w:rPr>
          <w:b/>
          <w:bCs/>
          <w:i/>
          <w:iCs/>
        </w:rPr>
        <w:t xml:space="preserve">in the CIM </w:t>
      </w:r>
      <w:r w:rsidR="003509CC">
        <w:rPr>
          <w:b/>
          <w:bCs/>
          <w:i/>
          <w:iCs/>
        </w:rPr>
        <w:t xml:space="preserve">Estimation of Mineral Resources and Mineral Reserves </w:t>
      </w:r>
      <w:r w:rsidR="004E559B">
        <w:rPr>
          <w:b/>
          <w:bCs/>
          <w:i/>
          <w:iCs/>
        </w:rPr>
        <w:t xml:space="preserve">Best Practice </w:t>
      </w:r>
      <w:r w:rsidR="00A15F15">
        <w:rPr>
          <w:b/>
          <w:bCs/>
          <w:i/>
          <w:iCs/>
        </w:rPr>
        <w:t xml:space="preserve">Guidelines </w:t>
      </w:r>
      <w:r w:rsidR="00C02175">
        <w:rPr>
          <w:b/>
          <w:bCs/>
          <w:i/>
          <w:iCs/>
        </w:rPr>
        <w:t>(</w:t>
      </w:r>
      <w:proofErr w:type="gramStart"/>
      <w:r w:rsidR="00C02175">
        <w:rPr>
          <w:b/>
          <w:bCs/>
          <w:i/>
          <w:iCs/>
        </w:rPr>
        <w:t>November,</w:t>
      </w:r>
      <w:proofErr w:type="gramEnd"/>
      <w:r w:rsidR="00C02175">
        <w:rPr>
          <w:b/>
          <w:bCs/>
          <w:i/>
          <w:iCs/>
        </w:rPr>
        <w:t xml:space="preserve"> 2019).</w:t>
      </w:r>
    </w:p>
    <w:p w14:paraId="1D3A9C54" w14:textId="0E844B9F" w:rsidR="00100CD8" w:rsidRDefault="00862029">
      <w:pPr>
        <w:pStyle w:val="Heading2"/>
      </w:pPr>
      <w:bookmarkStart w:id="25" w:name="Mineral_Reserve"/>
      <w:bookmarkStart w:id="26" w:name="_Toc244107633"/>
      <w:bookmarkEnd w:id="25"/>
      <w:r>
        <w:t>Mineral Reserve</w:t>
      </w:r>
      <w:bookmarkEnd w:id="26"/>
    </w:p>
    <w:p w14:paraId="1D3A9C55" w14:textId="31329E9A" w:rsidR="00100CD8" w:rsidRDefault="00862029">
      <w:pPr>
        <w:widowControl/>
        <w:spacing w:after="220"/>
        <w:jc w:val="both"/>
      </w:pPr>
      <w:r w:rsidRPr="007F3CA4">
        <w:rPr>
          <w:i/>
          <w:iCs/>
        </w:rPr>
        <w:t xml:space="preserve">Mineral Reserves are sub-divided in order of increasing confidence into </w:t>
      </w:r>
      <w:r w:rsidRPr="007F3CA4">
        <w:rPr>
          <w:i/>
          <w:iCs/>
          <w:u w:val="single"/>
        </w:rPr>
        <w:t>Probable Mineral Reserves</w:t>
      </w:r>
      <w:r w:rsidRPr="007F3CA4">
        <w:rPr>
          <w:i/>
          <w:iCs/>
        </w:rPr>
        <w:t xml:space="preserve"> and </w:t>
      </w:r>
      <w:r w:rsidRPr="007F3CA4">
        <w:rPr>
          <w:i/>
          <w:iCs/>
          <w:u w:val="single"/>
        </w:rPr>
        <w:t>Proven Mineral Reserves</w:t>
      </w:r>
      <w:r w:rsidRPr="007F3CA4">
        <w:rPr>
          <w:i/>
          <w:iCs/>
        </w:rPr>
        <w:t xml:space="preserve">. </w:t>
      </w:r>
    </w:p>
    <w:p w14:paraId="1D3A9C57" w14:textId="5EEE7796" w:rsidR="00100CD8" w:rsidRDefault="00862029">
      <w:pPr>
        <w:widowControl/>
        <w:spacing w:after="220"/>
        <w:jc w:val="both"/>
      </w:pPr>
      <w:r>
        <w:rPr>
          <w:b/>
          <w:bCs/>
        </w:rPr>
        <w:t xml:space="preserve">A Mineral Reserve is the economically mineable part of a </w:t>
      </w:r>
      <w:r w:rsidR="00020844">
        <w:rPr>
          <w:b/>
          <w:bCs/>
          <w:u w:val="single"/>
        </w:rPr>
        <w:t>M</w:t>
      </w:r>
      <w:r>
        <w:rPr>
          <w:b/>
          <w:bCs/>
          <w:u w:val="single"/>
        </w:rPr>
        <w:t>easured</w:t>
      </w:r>
      <w:r>
        <w:rPr>
          <w:b/>
          <w:bCs/>
        </w:rPr>
        <w:t xml:space="preserve"> and/or </w:t>
      </w:r>
      <w:r>
        <w:rPr>
          <w:b/>
          <w:bCs/>
          <w:u w:val="single"/>
        </w:rPr>
        <w:t>Indicated Mineral Resource</w:t>
      </w:r>
      <w:r>
        <w:rPr>
          <w:b/>
          <w:bCs/>
        </w:rPr>
        <w:t xml:space="preserve">. It includes diluting materials and allowances for losses, which may occur when the material is mined or extracted and is defined by studies </w:t>
      </w:r>
      <w:r w:rsidR="00E358D0">
        <w:rPr>
          <w:b/>
          <w:bCs/>
        </w:rPr>
        <w:t xml:space="preserve">that are least </w:t>
      </w:r>
      <w:r>
        <w:rPr>
          <w:b/>
          <w:bCs/>
        </w:rPr>
        <w:t xml:space="preserve">at </w:t>
      </w:r>
      <w:proofErr w:type="gramStart"/>
      <w:r w:rsidR="002E73EB">
        <w:rPr>
          <w:b/>
          <w:bCs/>
          <w:u w:val="single"/>
        </w:rPr>
        <w:t>P</w:t>
      </w:r>
      <w:r>
        <w:rPr>
          <w:b/>
          <w:bCs/>
          <w:u w:val="single"/>
        </w:rPr>
        <w:t>re-feasibility</w:t>
      </w:r>
      <w:proofErr w:type="gramEnd"/>
      <w:r>
        <w:rPr>
          <w:b/>
          <w:bCs/>
        </w:rPr>
        <w:t xml:space="preserve"> level that include application of </w:t>
      </w:r>
      <w:r>
        <w:rPr>
          <w:b/>
          <w:bCs/>
          <w:u w:val="single"/>
        </w:rPr>
        <w:t>Modifying Factors</w:t>
      </w:r>
      <w:r>
        <w:rPr>
          <w:b/>
          <w:bCs/>
        </w:rPr>
        <w:t>. Such studies demonstrate that, at the time of reporting, extraction could reasonably be justified.</w:t>
      </w:r>
    </w:p>
    <w:p w14:paraId="24521DCD" w14:textId="7D6EA941" w:rsidR="003C7344" w:rsidRDefault="003C7344" w:rsidP="003C7344">
      <w:pPr>
        <w:widowControl/>
        <w:spacing w:after="220"/>
        <w:jc w:val="both"/>
      </w:pPr>
      <w:r>
        <w:rPr>
          <w:b/>
          <w:bCs/>
        </w:rPr>
        <w:t>The d</w:t>
      </w:r>
      <w:r w:rsidR="00CA5096">
        <w:rPr>
          <w:b/>
          <w:bCs/>
        </w:rPr>
        <w:t>isclosure</w:t>
      </w:r>
      <w:r>
        <w:rPr>
          <w:b/>
          <w:bCs/>
        </w:rPr>
        <w:t xml:space="preserve"> of a Mineral Reserve is demonstrated by at least a </w:t>
      </w:r>
      <w:r>
        <w:rPr>
          <w:b/>
          <w:bCs/>
          <w:u w:val="single"/>
        </w:rPr>
        <w:t>Pre-Feasibility Study</w:t>
      </w:r>
      <w:r>
        <w:rPr>
          <w:b/>
          <w:bCs/>
        </w:rPr>
        <w:t>.</w:t>
      </w:r>
    </w:p>
    <w:p w14:paraId="1D3A9C5D" w14:textId="56B383D6" w:rsidR="00100CD8" w:rsidRDefault="18550EE6" w:rsidP="2A454D1A">
      <w:pPr>
        <w:widowControl/>
        <w:spacing w:after="220"/>
        <w:jc w:val="both"/>
      </w:pPr>
      <w:r>
        <w:rPr>
          <w:i/>
          <w:iCs/>
        </w:rPr>
        <w:t xml:space="preserve">Mineral Reserves are those parts of </w:t>
      </w:r>
      <w:r w:rsidRPr="2A454D1A">
        <w:rPr>
          <w:i/>
          <w:iCs/>
          <w:u w:val="single"/>
        </w:rPr>
        <w:t>Mineral Resources</w:t>
      </w:r>
      <w:r>
        <w:rPr>
          <w:i/>
          <w:iCs/>
        </w:rPr>
        <w:t xml:space="preserve"> which, after the application of all </w:t>
      </w:r>
      <w:r w:rsidR="31EFA776">
        <w:rPr>
          <w:i/>
          <w:iCs/>
        </w:rPr>
        <w:t xml:space="preserve">relevant </w:t>
      </w:r>
      <w:r w:rsidR="31EFA776" w:rsidRPr="007861CA">
        <w:rPr>
          <w:i/>
          <w:iCs/>
          <w:u w:val="single"/>
        </w:rPr>
        <w:t>Modifying F</w:t>
      </w:r>
      <w:r w:rsidRPr="007861CA">
        <w:rPr>
          <w:i/>
          <w:iCs/>
          <w:u w:val="single"/>
        </w:rPr>
        <w:t>actors</w:t>
      </w:r>
      <w:r>
        <w:rPr>
          <w:i/>
          <w:iCs/>
        </w:rPr>
        <w:t>, result in an estimated tonnage and grade which, in the opinion of th</w:t>
      </w:r>
      <w:r w:rsidR="23B63FC8">
        <w:rPr>
          <w:i/>
          <w:iCs/>
        </w:rPr>
        <w:t xml:space="preserve">e </w:t>
      </w:r>
      <w:r w:rsidR="00D160B3">
        <w:rPr>
          <w:i/>
          <w:iCs/>
        </w:rPr>
        <w:t>P</w:t>
      </w:r>
      <w:r w:rsidR="3D776D14">
        <w:rPr>
          <w:i/>
          <w:iCs/>
        </w:rPr>
        <w:t>ractitioner</w:t>
      </w:r>
      <w:r>
        <w:rPr>
          <w:i/>
          <w:iCs/>
        </w:rPr>
        <w:t xml:space="preserve">, is the basis of an economically viable project. Mineral Reserves are inclusive of diluting material that will be mined in conjunction with the Mineral Reserves and delivered to the </w:t>
      </w:r>
      <w:r w:rsidR="351ECF06">
        <w:rPr>
          <w:i/>
          <w:iCs/>
        </w:rPr>
        <w:t>processing</w:t>
      </w:r>
      <w:r>
        <w:rPr>
          <w:i/>
          <w:iCs/>
        </w:rPr>
        <w:t xml:space="preserve"> facility. The term ‘Mineral Reserve’ need not necessarily signify that extraction facilities are in place or operative or that all governmental approvals have been received. It does signify that there are reasonable expectations of such approvals.</w:t>
      </w:r>
    </w:p>
    <w:p w14:paraId="5B883894" w14:textId="3FD57BC3" w:rsidR="00142485" w:rsidRPr="00B51D10" w:rsidRDefault="00142485" w:rsidP="00142485">
      <w:pPr>
        <w:widowControl/>
        <w:spacing w:after="220"/>
        <w:jc w:val="both"/>
      </w:pPr>
      <w:r w:rsidRPr="00B51D10">
        <w:rPr>
          <w:i/>
          <w:iCs/>
        </w:rPr>
        <w:t xml:space="preserve">The reference point at which Mineral Reserves are defined, usually the point where the ore is delivered to the processing plant, </w:t>
      </w:r>
      <w:r w:rsidR="00C73DE2">
        <w:rPr>
          <w:i/>
          <w:iCs/>
        </w:rPr>
        <w:t>should</w:t>
      </w:r>
      <w:r w:rsidRPr="00B51D10">
        <w:rPr>
          <w:i/>
          <w:iCs/>
        </w:rPr>
        <w:t xml:space="preserve"> be stated. It is important that, in all situations where the reference point is different, such as for a saleable product, a clarifying statement is included to ensure that the reader is fully informed as to what is being reported.</w:t>
      </w:r>
    </w:p>
    <w:p w14:paraId="1D3A9C61" w14:textId="77777777" w:rsidR="00100CD8" w:rsidRDefault="00862029">
      <w:pPr>
        <w:pStyle w:val="Heading2"/>
      </w:pPr>
      <w:bookmarkStart w:id="27" w:name="Probable_Mineral_Reserve"/>
      <w:bookmarkStart w:id="28" w:name="_Toc244107634"/>
      <w:bookmarkEnd w:id="27"/>
      <w:r>
        <w:t>Probable Mineral Reserve</w:t>
      </w:r>
      <w:bookmarkEnd w:id="28"/>
    </w:p>
    <w:p w14:paraId="1D3A9C62" w14:textId="4F792863" w:rsidR="00100CD8" w:rsidRDefault="00862029">
      <w:pPr>
        <w:widowControl/>
        <w:spacing w:after="220"/>
        <w:jc w:val="both"/>
      </w:pPr>
      <w:r>
        <w:rPr>
          <w:b/>
          <w:bCs/>
        </w:rPr>
        <w:t xml:space="preserve">A Probable Mineral Reserve is the economically mineable part of an </w:t>
      </w:r>
      <w:r w:rsidR="006F6F0B">
        <w:rPr>
          <w:b/>
          <w:bCs/>
          <w:u w:val="single"/>
        </w:rPr>
        <w:t>I</w:t>
      </w:r>
      <w:r>
        <w:rPr>
          <w:b/>
          <w:bCs/>
          <w:u w:val="single"/>
        </w:rPr>
        <w:t>ndicated</w:t>
      </w:r>
      <w:r>
        <w:rPr>
          <w:b/>
          <w:bCs/>
        </w:rPr>
        <w:t xml:space="preserve">, and in some circumstances, a </w:t>
      </w:r>
      <w:r>
        <w:rPr>
          <w:b/>
          <w:bCs/>
          <w:u w:val="single"/>
        </w:rPr>
        <w:t>Measured Mineral Resource</w:t>
      </w:r>
      <w:r>
        <w:rPr>
          <w:b/>
          <w:bCs/>
        </w:rPr>
        <w:t xml:space="preserve">. The confidence in the </w:t>
      </w:r>
      <w:r>
        <w:rPr>
          <w:b/>
          <w:bCs/>
          <w:u w:val="single"/>
        </w:rPr>
        <w:t>Modifying Factors</w:t>
      </w:r>
      <w:r>
        <w:rPr>
          <w:b/>
          <w:bCs/>
        </w:rPr>
        <w:t xml:space="preserve"> applying to a Probable Mineral Reserve is lower than that applying to a </w:t>
      </w:r>
      <w:r>
        <w:rPr>
          <w:b/>
          <w:bCs/>
          <w:u w:val="single"/>
        </w:rPr>
        <w:t>Proven Mineral Reserve.</w:t>
      </w:r>
    </w:p>
    <w:p w14:paraId="1D3A9C65" w14:textId="31AA400A" w:rsidR="00100CD8" w:rsidRDefault="00862029" w:rsidP="007861CA">
      <w:pPr>
        <w:widowControl/>
        <w:spacing w:after="220"/>
        <w:jc w:val="both"/>
      </w:pPr>
      <w:r>
        <w:rPr>
          <w:i/>
          <w:iCs/>
        </w:rPr>
        <w:t xml:space="preserve">The </w:t>
      </w:r>
      <w:r w:rsidR="00B94F50">
        <w:rPr>
          <w:i/>
          <w:iCs/>
        </w:rPr>
        <w:t>Practitioner</w:t>
      </w:r>
      <w:r>
        <w:rPr>
          <w:i/>
          <w:iCs/>
        </w:rPr>
        <w:t xml:space="preserve"> may elect, to convert </w:t>
      </w:r>
      <w:r>
        <w:rPr>
          <w:i/>
          <w:iCs/>
          <w:u w:val="single"/>
        </w:rPr>
        <w:t>Measured Mineral Resources</w:t>
      </w:r>
      <w:r>
        <w:rPr>
          <w:i/>
          <w:iCs/>
        </w:rPr>
        <w:t xml:space="preserve"> to Probable Mineral Reserves if the confidence in the </w:t>
      </w:r>
      <w:r>
        <w:rPr>
          <w:i/>
          <w:iCs/>
          <w:u w:val="single"/>
        </w:rPr>
        <w:t>Modifying Factors</w:t>
      </w:r>
      <w:r>
        <w:rPr>
          <w:i/>
          <w:iCs/>
        </w:rPr>
        <w:t xml:space="preserve"> is lower than that applied to a </w:t>
      </w:r>
      <w:r>
        <w:rPr>
          <w:i/>
          <w:iCs/>
          <w:u w:val="single"/>
        </w:rPr>
        <w:t>Proven Mineral Reserve.</w:t>
      </w:r>
      <w:r>
        <w:rPr>
          <w:i/>
          <w:iCs/>
        </w:rPr>
        <w:t xml:space="preserve"> </w:t>
      </w:r>
    </w:p>
    <w:p w14:paraId="1D3A9C66" w14:textId="77777777" w:rsidR="00100CD8" w:rsidRDefault="00862029">
      <w:pPr>
        <w:pStyle w:val="Heading2"/>
      </w:pPr>
      <w:bookmarkStart w:id="29" w:name="Proven_Mineral_Reserve_(Proved_Mineral_R"/>
      <w:bookmarkStart w:id="30" w:name="_Toc244107635"/>
      <w:bookmarkEnd w:id="29"/>
      <w:r>
        <w:t>Proven Mineral Reserve (Proved Mineral Reserve)</w:t>
      </w:r>
      <w:bookmarkEnd w:id="30"/>
    </w:p>
    <w:p w14:paraId="1D3A9C67" w14:textId="77777777" w:rsidR="00100CD8" w:rsidRDefault="00862029">
      <w:pPr>
        <w:widowControl/>
        <w:spacing w:after="220"/>
        <w:jc w:val="both"/>
      </w:pPr>
      <w:r>
        <w:rPr>
          <w:b/>
          <w:bCs/>
        </w:rPr>
        <w:t xml:space="preserve">A Proven Mineral Reserve is the economically mineable part of a </w:t>
      </w:r>
      <w:r>
        <w:rPr>
          <w:b/>
          <w:bCs/>
          <w:u w:val="single"/>
        </w:rPr>
        <w:t>Measured Mineral Resource</w:t>
      </w:r>
      <w:r>
        <w:rPr>
          <w:b/>
          <w:bCs/>
        </w:rPr>
        <w:t xml:space="preserve">. A Proven Mineral Reserve implies a high degree of confidence in the </w:t>
      </w:r>
      <w:r>
        <w:rPr>
          <w:b/>
          <w:bCs/>
          <w:u w:val="single"/>
        </w:rPr>
        <w:t>Modifying Factors</w:t>
      </w:r>
      <w:r>
        <w:rPr>
          <w:b/>
          <w:bCs/>
        </w:rPr>
        <w:t>.</w:t>
      </w:r>
    </w:p>
    <w:p w14:paraId="71168FB9" w14:textId="764176A3" w:rsidR="002873A4" w:rsidRDefault="00862029" w:rsidP="00D95052">
      <w:pPr>
        <w:widowControl/>
        <w:spacing w:after="220"/>
        <w:jc w:val="both"/>
      </w:pPr>
      <w:r>
        <w:rPr>
          <w:i/>
          <w:iCs/>
        </w:rPr>
        <w:t xml:space="preserve">Application of the Proven Mineral Reserve category implies that the </w:t>
      </w:r>
      <w:r w:rsidR="00B94F50">
        <w:rPr>
          <w:i/>
          <w:iCs/>
        </w:rPr>
        <w:t>Practitioner</w:t>
      </w:r>
      <w:r>
        <w:rPr>
          <w:i/>
          <w:iCs/>
        </w:rPr>
        <w:t xml:space="preserve"> has the highest degree of confidence in the estimate. The term should be restricted to that part of the deposit where any variation in the estimate would not significantly affect the potential economic viability of the deposit.</w:t>
      </w:r>
    </w:p>
    <w:p w14:paraId="1D3A9C69" w14:textId="28853503" w:rsidR="00100CD8" w:rsidRDefault="00862029">
      <w:pPr>
        <w:widowControl/>
        <w:spacing w:after="220"/>
        <w:jc w:val="both"/>
      </w:pPr>
      <w:r>
        <w:rPr>
          <w:i/>
          <w:iCs/>
        </w:rPr>
        <w:lastRenderedPageBreak/>
        <w:t xml:space="preserve">Within the CIM Definition Standards the term </w:t>
      </w:r>
      <w:r w:rsidR="00E07CAE">
        <w:rPr>
          <w:i/>
          <w:iCs/>
        </w:rPr>
        <w:t>P</w:t>
      </w:r>
      <w:r>
        <w:rPr>
          <w:i/>
          <w:iCs/>
        </w:rPr>
        <w:t>roved Mineral Reserve is an equivalent term to a Proven Mineral Reserve.</w:t>
      </w:r>
    </w:p>
    <w:p w14:paraId="1D3A9C6B" w14:textId="77777777" w:rsidR="00100CD8" w:rsidRDefault="00862029">
      <w:pPr>
        <w:pStyle w:val="Heading1"/>
      </w:pPr>
      <w:bookmarkStart w:id="31" w:name="Mineral_Resource_and_Mineral_Reserve_Cla"/>
      <w:bookmarkStart w:id="32" w:name="_Toc244107636"/>
      <w:bookmarkEnd w:id="31"/>
      <w:r>
        <w:t>Mineral Resource and Mineral Reserve Classification</w:t>
      </w:r>
      <w:bookmarkEnd w:id="32"/>
    </w:p>
    <w:p w14:paraId="1D3A9C6C" w14:textId="487114A5" w:rsidR="00100CD8" w:rsidRDefault="00862029">
      <w:pPr>
        <w:keepNext/>
        <w:widowControl/>
        <w:spacing w:after="220"/>
        <w:jc w:val="both"/>
      </w:pPr>
      <w:r>
        <w:t xml:space="preserve">The CIM Definition Standards provide for a direct relationship between Indicated Mineral Resources and Probable Mineral Reserves and between Measured Mineral Resources and Proven Mineral Reserves. In other words, the level of geoscientific confidence for Probable Mineral Reserves is the same as that required for the determination of Indicated Mineral Resources and for Proven Mineral Reserves is the same as that required for the determination of Measured Mineral Resources. Figure </w:t>
      </w:r>
      <w:r w:rsidR="00CA5096">
        <w:t xml:space="preserve">1 </w:t>
      </w:r>
      <w:r>
        <w:t>displays the relationship between the Mineral Resource and Mineral Reserve categories.</w:t>
      </w:r>
    </w:p>
    <w:p w14:paraId="31485354" w14:textId="03937B46" w:rsidR="00D5292C" w:rsidRDefault="00527252">
      <w:pPr>
        <w:keepNext/>
        <w:keepLines/>
        <w:spacing w:line="280" w:lineRule="exact"/>
      </w:pPr>
      <w:r>
        <w:rPr>
          <w:noProof/>
        </w:rPr>
        <mc:AlternateContent>
          <mc:Choice Requires="wpg">
            <w:drawing>
              <wp:anchor distT="0" distB="0" distL="114300" distR="114300" simplePos="0" relativeHeight="251660290" behindDoc="0" locked="0" layoutInCell="1" allowOverlap="1" wp14:anchorId="3D637DCF" wp14:editId="2CDE36A8">
                <wp:simplePos x="0" y="0"/>
                <wp:positionH relativeFrom="column">
                  <wp:posOffset>0</wp:posOffset>
                </wp:positionH>
                <wp:positionV relativeFrom="paragraph">
                  <wp:posOffset>-104775</wp:posOffset>
                </wp:positionV>
                <wp:extent cx="5748655" cy="3596132"/>
                <wp:effectExtent l="19050" t="19050" r="23495" b="23495"/>
                <wp:wrapNone/>
                <wp:docPr id="1308056867" name="Group 84"/>
                <wp:cNvGraphicFramePr/>
                <a:graphic xmlns:a="http://schemas.openxmlformats.org/drawingml/2006/main">
                  <a:graphicData uri="http://schemas.microsoft.com/office/word/2010/wordprocessingGroup">
                    <wpg:wgp>
                      <wpg:cNvGrpSpPr/>
                      <wpg:grpSpPr>
                        <a:xfrm>
                          <a:off x="0" y="0"/>
                          <a:ext cx="5748655" cy="3596132"/>
                          <a:chOff x="0" y="0"/>
                          <a:chExt cx="5748655" cy="3596132"/>
                        </a:xfrm>
                      </wpg:grpSpPr>
                      <wps:wsp>
                        <wps:cNvPr id="846147653" name="Rectangle: Rounded Corners 13"/>
                        <wps:cNvSpPr/>
                        <wps:spPr>
                          <a:xfrm>
                            <a:off x="0" y="0"/>
                            <a:ext cx="5748655" cy="3596132"/>
                          </a:xfrm>
                          <a:prstGeom prst="roundRect">
                            <a:avLst>
                              <a:gd name="adj" fmla="val 5083"/>
                            </a:avLst>
                          </a:prstGeom>
                          <a:noFill/>
                          <a:ln w="38100">
                            <a:solidFill>
                              <a:srgbClr val="3333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1534706" name="ZoneTexte 36"/>
                        <wps:cNvSpPr txBox="1"/>
                        <wps:spPr>
                          <a:xfrm>
                            <a:off x="134569" y="1729283"/>
                            <a:ext cx="1439545" cy="717550"/>
                          </a:xfrm>
                          <a:prstGeom prst="rect">
                            <a:avLst/>
                          </a:prstGeom>
                          <a:noFill/>
                        </wps:spPr>
                        <wps:txbx>
                          <w:txbxContent>
                            <w:p w14:paraId="5F4A1D19" w14:textId="77777777" w:rsidR="00527252" w:rsidRPr="00B43CE7" w:rsidRDefault="00527252" w:rsidP="00527252">
                              <w:pPr>
                                <w:jc w:val="center"/>
                                <w:rPr>
                                  <w:rFonts w:ascii="Calibri" w:hAnsi="Calibri" w:cs="Calibri"/>
                                  <w:b/>
                                  <w:color w:val="000000" w:themeColor="text1"/>
                                  <w:kern w:val="24"/>
                                  <w:sz w:val="26"/>
                                  <w:szCs w:val="26"/>
                                </w:rPr>
                              </w:pPr>
                              <w:r w:rsidRPr="00B43CE7">
                                <w:rPr>
                                  <w:rFonts w:ascii="Calibri" w:hAnsi="Calibri" w:cs="Calibri"/>
                                  <w:b/>
                                  <w:color w:val="000000" w:themeColor="text1"/>
                                  <w:kern w:val="24"/>
                                  <w:sz w:val="26"/>
                                  <w:szCs w:val="26"/>
                                </w:rPr>
                                <w:t>Increasing level of knowledge and confidence</w:t>
                              </w:r>
                            </w:p>
                          </w:txbxContent>
                        </wps:txbx>
                        <wps:bodyPr wrap="square" rtlCol="0">
                          <a:noAutofit/>
                        </wps:bodyPr>
                      </wps:wsp>
                      <wps:wsp>
                        <wps:cNvPr id="1940146261" name="ZoneTexte 37"/>
                        <wps:cNvSpPr txBox="1"/>
                        <wps:spPr>
                          <a:xfrm>
                            <a:off x="2065782" y="3192323"/>
                            <a:ext cx="3208655" cy="323215"/>
                          </a:xfrm>
                          <a:prstGeom prst="rect">
                            <a:avLst/>
                          </a:prstGeom>
                          <a:noFill/>
                        </wps:spPr>
                        <wps:txbx>
                          <w:txbxContent>
                            <w:p w14:paraId="12A6294E" w14:textId="77777777" w:rsidR="00527252" w:rsidRPr="0022764F" w:rsidRDefault="00527252" w:rsidP="00527252">
                              <w:pPr>
                                <w:jc w:val="center"/>
                                <w:rPr>
                                  <w:rFonts w:ascii="Calibri" w:hAnsi="Calibri" w:cs="Calibri"/>
                                  <w:b/>
                                  <w:color w:val="000000" w:themeColor="text1"/>
                                  <w:kern w:val="24"/>
                                  <w:sz w:val="24"/>
                                  <w:szCs w:val="24"/>
                                </w:rPr>
                              </w:pPr>
                              <w:r w:rsidRPr="0022764F">
                                <w:rPr>
                                  <w:rFonts w:ascii="Calibri" w:hAnsi="Calibri" w:cs="Calibri"/>
                                  <w:b/>
                                  <w:color w:val="000000" w:themeColor="text1"/>
                                  <w:kern w:val="24"/>
                                  <w:sz w:val="24"/>
                                  <w:szCs w:val="24"/>
                                </w:rPr>
                                <w:t>Consideration of the Modifying Factors</w:t>
                              </w:r>
                            </w:p>
                          </w:txbxContent>
                        </wps:txbx>
                        <wps:bodyPr wrap="square" rtlCol="0">
                          <a:noAutofit/>
                        </wps:bodyPr>
                      </wps:wsp>
                      <wps:wsp>
                        <wps:cNvPr id="1789761370" name="Rectangle: Rounded Corners 3"/>
                        <wps:cNvSpPr/>
                        <wps:spPr>
                          <a:xfrm>
                            <a:off x="1831696" y="785622"/>
                            <a:ext cx="3791204" cy="2697226"/>
                          </a:xfrm>
                          <a:prstGeom prst="roundRect">
                            <a:avLst>
                              <a:gd name="adj" fmla="val 5209"/>
                            </a:avLst>
                          </a:prstGeom>
                          <a:noFill/>
                          <a:ln w="25400" cap="rn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5895226" name="Rectangle: Rounded Corners 11"/>
                        <wps:cNvSpPr/>
                        <wps:spPr>
                          <a:xfrm>
                            <a:off x="121463" y="128778"/>
                            <a:ext cx="1381125" cy="533400"/>
                          </a:xfrm>
                          <a:prstGeom prst="roundRect">
                            <a:avLst/>
                          </a:prstGeom>
                          <a:solidFill>
                            <a:schemeClr val="bg1"/>
                          </a:solidFill>
                          <a:ln w="22225"/>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BD0CA13" w14:textId="77777777" w:rsidR="00527252" w:rsidRPr="005063E5" w:rsidRDefault="00527252" w:rsidP="00527252">
                              <w:pPr>
                                <w:jc w:val="center"/>
                                <w:rPr>
                                  <w:rFonts w:ascii="Calibri" w:hAnsi="Calibri" w:cs="Calibri"/>
                                  <w:b/>
                                  <w:bCs/>
                                  <w:color w:val="000000" w:themeColor="text1"/>
                                  <w:sz w:val="28"/>
                                  <w:szCs w:val="28"/>
                                </w:rPr>
                              </w:pPr>
                              <w:r w:rsidRPr="005063E5">
                                <w:rPr>
                                  <w:rFonts w:ascii="Calibri" w:hAnsi="Calibri" w:cs="Calibri"/>
                                  <w:b/>
                                  <w:bCs/>
                                  <w:color w:val="000000" w:themeColor="text1"/>
                                  <w:sz w:val="28"/>
                                  <w:szCs w:val="28"/>
                                </w:rPr>
                                <w:t>EXPLORATION INFORMATION</w:t>
                              </w:r>
                            </w:p>
                          </w:txbxContent>
                        </wps:txbx>
                        <wps:bodyPr rot="0" spcFirstLastPara="0" vertOverflow="overflow" horzOverflow="overflow" vert="horz" wrap="square" lIns="108000" tIns="0" rIns="91440" bIns="45720" numCol="1" spcCol="0" rtlCol="0" fromWordArt="0" anchor="ctr" anchorCtr="0" forceAA="0" compatLnSpc="1">
                          <a:prstTxWarp prst="textNoShape">
                            <a:avLst/>
                          </a:prstTxWarp>
                          <a:noAutofit/>
                        </wps:bodyPr>
                      </wps:wsp>
                      <wps:wsp>
                        <wps:cNvPr id="1111546199" name="Rectangle: Rounded Corners 11"/>
                        <wps:cNvSpPr/>
                        <wps:spPr>
                          <a:xfrm>
                            <a:off x="1964893" y="128778"/>
                            <a:ext cx="1381125" cy="533400"/>
                          </a:xfrm>
                          <a:prstGeom prst="roundRect">
                            <a:avLst/>
                          </a:prstGeom>
                          <a:solidFill>
                            <a:schemeClr val="bg1"/>
                          </a:solidFill>
                          <a:ln w="22225"/>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8D1F251" w14:textId="77777777" w:rsidR="00527252" w:rsidRPr="005063E5" w:rsidRDefault="00527252" w:rsidP="00527252">
                              <w:pPr>
                                <w:jc w:val="center"/>
                                <w:rPr>
                                  <w:rFonts w:ascii="Calibri" w:hAnsi="Calibri" w:cs="Calibri"/>
                                  <w:b/>
                                  <w:bCs/>
                                  <w:color w:val="000000" w:themeColor="text1"/>
                                  <w:sz w:val="28"/>
                                  <w:szCs w:val="28"/>
                                </w:rPr>
                              </w:pPr>
                              <w:r w:rsidRPr="005063E5">
                                <w:rPr>
                                  <w:rFonts w:ascii="Calibri" w:hAnsi="Calibri" w:cs="Calibri"/>
                                  <w:b/>
                                  <w:bCs/>
                                  <w:color w:val="000000" w:themeColor="text1"/>
                                  <w:sz w:val="28"/>
                                  <w:szCs w:val="28"/>
                                </w:rPr>
                                <w:t xml:space="preserve">EXPLORATION </w:t>
                              </w:r>
                              <w:r>
                                <w:rPr>
                                  <w:rFonts w:ascii="Calibri" w:hAnsi="Calibri" w:cs="Calibri"/>
                                  <w:b/>
                                  <w:bCs/>
                                  <w:color w:val="000000" w:themeColor="text1"/>
                                  <w:sz w:val="28"/>
                                  <w:szCs w:val="28"/>
                                </w:rPr>
                                <w:t>TARGET</w:t>
                              </w:r>
                            </w:p>
                          </w:txbxContent>
                        </wps:txbx>
                        <wps:bodyPr rot="0" spcFirstLastPara="0" vertOverflow="overflow" horzOverflow="overflow" vert="horz" wrap="square" lIns="108000" tIns="0" rIns="91440" bIns="45720" numCol="1" spcCol="0" rtlCol="0" fromWordArt="0" anchor="ctr" anchorCtr="0" forceAA="0" compatLnSpc="1">
                          <a:prstTxWarp prst="textNoShape">
                            <a:avLst/>
                          </a:prstTxWarp>
                          <a:noAutofit/>
                        </wps:bodyPr>
                      </wps:wsp>
                      <wps:wsp>
                        <wps:cNvPr id="747863701" name="Rectangle: Rounded Corners 11"/>
                        <wps:cNvSpPr/>
                        <wps:spPr>
                          <a:xfrm>
                            <a:off x="4115562" y="904189"/>
                            <a:ext cx="1381125" cy="533400"/>
                          </a:xfrm>
                          <a:prstGeom prst="roundRect">
                            <a:avLst/>
                          </a:prstGeom>
                          <a:solidFill>
                            <a:schemeClr val="bg1"/>
                          </a:solidFill>
                          <a:ln w="22225"/>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65069CF" w14:textId="77777777" w:rsidR="00527252" w:rsidRPr="005063E5" w:rsidRDefault="00527252" w:rsidP="00527252">
                              <w:pPr>
                                <w:jc w:val="center"/>
                                <w:rPr>
                                  <w:rFonts w:ascii="Calibri" w:hAnsi="Calibri" w:cs="Calibri"/>
                                  <w:b/>
                                  <w:bCs/>
                                  <w:color w:val="000000" w:themeColor="text1"/>
                                  <w:sz w:val="28"/>
                                  <w:szCs w:val="28"/>
                                </w:rPr>
                              </w:pPr>
                              <w:r>
                                <w:rPr>
                                  <w:rFonts w:ascii="Calibri" w:hAnsi="Calibri" w:cs="Calibri"/>
                                  <w:b/>
                                  <w:bCs/>
                                  <w:color w:val="000000" w:themeColor="text1"/>
                                  <w:sz w:val="28"/>
                                  <w:szCs w:val="28"/>
                                </w:rPr>
                                <w:t>MINERAL RESERVES</w:t>
                              </w:r>
                            </w:p>
                          </w:txbxContent>
                        </wps:txbx>
                        <wps:bodyPr rot="0" spcFirstLastPara="0" vertOverflow="overflow" horzOverflow="overflow" vert="horz" wrap="square" lIns="108000" tIns="0" rIns="91440" bIns="45720" numCol="1" spcCol="0" rtlCol="0" fromWordArt="0" anchor="ctr" anchorCtr="0" forceAA="0" compatLnSpc="1">
                          <a:prstTxWarp prst="textNoShape">
                            <a:avLst/>
                          </a:prstTxWarp>
                          <a:noAutofit/>
                        </wps:bodyPr>
                      </wps:wsp>
                      <wps:wsp>
                        <wps:cNvPr id="641483092" name="Rectangle: Rounded Corners 11"/>
                        <wps:cNvSpPr/>
                        <wps:spPr>
                          <a:xfrm>
                            <a:off x="1964893" y="904189"/>
                            <a:ext cx="1381125" cy="533400"/>
                          </a:xfrm>
                          <a:prstGeom prst="roundRect">
                            <a:avLst/>
                          </a:prstGeom>
                          <a:solidFill>
                            <a:schemeClr val="bg1"/>
                          </a:solidFill>
                          <a:ln w="22225"/>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95207B1" w14:textId="77777777" w:rsidR="00527252" w:rsidRPr="005063E5" w:rsidRDefault="00527252" w:rsidP="00527252">
                              <w:pPr>
                                <w:jc w:val="center"/>
                                <w:rPr>
                                  <w:rFonts w:ascii="Calibri" w:hAnsi="Calibri" w:cs="Calibri"/>
                                  <w:b/>
                                  <w:bCs/>
                                  <w:color w:val="000000" w:themeColor="text1"/>
                                  <w:sz w:val="28"/>
                                  <w:szCs w:val="28"/>
                                </w:rPr>
                              </w:pPr>
                              <w:r>
                                <w:rPr>
                                  <w:rFonts w:ascii="Calibri" w:hAnsi="Calibri" w:cs="Calibri"/>
                                  <w:b/>
                                  <w:bCs/>
                                  <w:color w:val="000000" w:themeColor="text1"/>
                                  <w:sz w:val="28"/>
                                  <w:szCs w:val="28"/>
                                </w:rPr>
                                <w:t>MINERAL RESOURCES</w:t>
                              </w:r>
                            </w:p>
                          </w:txbxContent>
                        </wps:txbx>
                        <wps:bodyPr rot="0" spcFirstLastPara="0" vertOverflow="overflow" horzOverflow="overflow" vert="horz" wrap="square" lIns="108000" tIns="0" rIns="91440" bIns="45720" numCol="1" spcCol="0" rtlCol="0" fromWordArt="0" anchor="ctr" anchorCtr="0" forceAA="0" compatLnSpc="1">
                          <a:prstTxWarp prst="textNoShape">
                            <a:avLst/>
                          </a:prstTxWarp>
                          <a:noAutofit/>
                        </wps:bodyPr>
                      </wps:wsp>
                      <wps:wsp>
                        <wps:cNvPr id="151105477" name="Rectangle: Rounded Corners 12"/>
                        <wps:cNvSpPr/>
                        <wps:spPr>
                          <a:xfrm>
                            <a:off x="2067306" y="2623261"/>
                            <a:ext cx="1114425" cy="428625"/>
                          </a:xfrm>
                          <a:prstGeom prst="roundRect">
                            <a:avLst/>
                          </a:prstGeom>
                          <a:solidFill>
                            <a:schemeClr val="tx1">
                              <a:alpha val="75000"/>
                            </a:schemeClr>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6AEDE3A" w14:textId="77777777" w:rsidR="00527252" w:rsidRPr="005063E5" w:rsidRDefault="00527252" w:rsidP="00527252">
                              <w:pPr>
                                <w:jc w:val="center"/>
                                <w:rPr>
                                  <w:rFonts w:ascii="Calibri" w:hAnsi="Calibri" w:cs="Calibri"/>
                                  <w:b/>
                                  <w:bCs/>
                                  <w:sz w:val="28"/>
                                  <w:szCs w:val="28"/>
                                </w:rPr>
                              </w:pPr>
                              <w:r>
                                <w:rPr>
                                  <w:rFonts w:ascii="Calibri" w:hAnsi="Calibri" w:cs="Calibri"/>
                                  <w:b/>
                                  <w:bCs/>
                                  <w:sz w:val="28"/>
                                  <w:szCs w:val="28"/>
                                </w:rPr>
                                <w:t>MEASURED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8439541" name="Rectangle: Rounded Corners 12"/>
                        <wps:cNvSpPr/>
                        <wps:spPr>
                          <a:xfrm>
                            <a:off x="2067306" y="2111197"/>
                            <a:ext cx="1114425" cy="428625"/>
                          </a:xfrm>
                          <a:prstGeom prst="roundRect">
                            <a:avLst/>
                          </a:prstGeom>
                          <a:solidFill>
                            <a:schemeClr val="tx1">
                              <a:alpha val="75000"/>
                            </a:schemeClr>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337C3C9" w14:textId="77777777" w:rsidR="00527252" w:rsidRPr="005063E5" w:rsidRDefault="00527252" w:rsidP="00527252">
                              <w:pPr>
                                <w:jc w:val="center"/>
                                <w:rPr>
                                  <w:rFonts w:ascii="Calibri" w:hAnsi="Calibri" w:cs="Calibri"/>
                                  <w:b/>
                                  <w:bCs/>
                                  <w:sz w:val="28"/>
                                  <w:szCs w:val="28"/>
                                </w:rPr>
                              </w:pPr>
                              <w:r>
                                <w:rPr>
                                  <w:rFonts w:ascii="Calibri" w:hAnsi="Calibri" w:cs="Calibri"/>
                                  <w:b/>
                                  <w:bCs/>
                                  <w:sz w:val="28"/>
                                  <w:szCs w:val="28"/>
                                </w:rPr>
                                <w:t>INDICATED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5158120" name="Rectangle: Rounded Corners 12"/>
                        <wps:cNvSpPr/>
                        <wps:spPr>
                          <a:xfrm>
                            <a:off x="2067306" y="1599133"/>
                            <a:ext cx="1114425" cy="428625"/>
                          </a:xfrm>
                          <a:prstGeom prst="roundRect">
                            <a:avLst/>
                          </a:prstGeom>
                          <a:solidFill>
                            <a:schemeClr val="tx1">
                              <a:alpha val="75000"/>
                            </a:schemeClr>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162001B7" w14:textId="77777777" w:rsidR="00527252" w:rsidRPr="005063E5" w:rsidRDefault="00527252" w:rsidP="00527252">
                              <w:pPr>
                                <w:jc w:val="center"/>
                                <w:rPr>
                                  <w:rFonts w:ascii="Calibri" w:hAnsi="Calibri" w:cs="Calibri"/>
                                  <w:b/>
                                  <w:bCs/>
                                  <w:sz w:val="28"/>
                                  <w:szCs w:val="28"/>
                                </w:rPr>
                              </w:pPr>
                              <w:r>
                                <w:rPr>
                                  <w:rFonts w:ascii="Calibri" w:hAnsi="Calibri" w:cs="Calibri"/>
                                  <w:b/>
                                  <w:bCs/>
                                  <w:sz w:val="28"/>
                                  <w:szCs w:val="28"/>
                                </w:rPr>
                                <w:t>INFERRED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2450311" name="Rectangle: Rounded Corners 12"/>
                        <wps:cNvSpPr/>
                        <wps:spPr>
                          <a:xfrm>
                            <a:off x="4261866" y="2118513"/>
                            <a:ext cx="1114425" cy="428625"/>
                          </a:xfrm>
                          <a:prstGeom prst="roundRect">
                            <a:avLst/>
                          </a:prstGeom>
                          <a:solidFill>
                            <a:schemeClr val="tx1">
                              <a:alpha val="75000"/>
                            </a:schemeClr>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2B3140B4" w14:textId="77777777" w:rsidR="00527252" w:rsidRPr="005063E5" w:rsidRDefault="00527252" w:rsidP="00527252">
                              <w:pPr>
                                <w:jc w:val="center"/>
                                <w:rPr>
                                  <w:rFonts w:ascii="Calibri" w:hAnsi="Calibri" w:cs="Calibri"/>
                                  <w:b/>
                                  <w:bCs/>
                                  <w:sz w:val="28"/>
                                  <w:szCs w:val="28"/>
                                </w:rPr>
                              </w:pPr>
                              <w:r>
                                <w:rPr>
                                  <w:rFonts w:ascii="Calibri" w:hAnsi="Calibri" w:cs="Calibri"/>
                                  <w:b/>
                                  <w:bCs/>
                                  <w:sz w:val="28"/>
                                  <w:szCs w:val="28"/>
                                </w:rPr>
                                <w:t>PROBABLE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1583442" name="Rectangle: Rounded Corners 12"/>
                        <wps:cNvSpPr/>
                        <wps:spPr>
                          <a:xfrm>
                            <a:off x="4261866" y="2637892"/>
                            <a:ext cx="1114425" cy="428625"/>
                          </a:xfrm>
                          <a:prstGeom prst="roundRect">
                            <a:avLst/>
                          </a:prstGeom>
                          <a:solidFill>
                            <a:schemeClr val="tx1">
                              <a:alpha val="75000"/>
                            </a:schemeClr>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7AAF187" w14:textId="77777777" w:rsidR="00527252" w:rsidRPr="005063E5" w:rsidRDefault="00527252" w:rsidP="00527252">
                              <w:pPr>
                                <w:jc w:val="center"/>
                                <w:rPr>
                                  <w:rFonts w:ascii="Calibri" w:hAnsi="Calibri" w:cs="Calibri"/>
                                  <w:b/>
                                  <w:bCs/>
                                  <w:sz w:val="28"/>
                                  <w:szCs w:val="28"/>
                                </w:rPr>
                              </w:pPr>
                              <w:r>
                                <w:rPr>
                                  <w:rFonts w:ascii="Calibri" w:hAnsi="Calibri" w:cs="Calibri"/>
                                  <w:b/>
                                  <w:bCs/>
                                  <w:sz w:val="28"/>
                                  <w:szCs w:val="28"/>
                                </w:rPr>
                                <w:t>PROVEN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2941893" name="Straight Arrow Connector 78"/>
                        <wps:cNvCnPr/>
                        <wps:spPr>
                          <a:xfrm>
                            <a:off x="1561033" y="398069"/>
                            <a:ext cx="367030" cy="0"/>
                          </a:xfrm>
                          <a:prstGeom prst="straightConnector1">
                            <a:avLst/>
                          </a:prstGeom>
                          <a:ln w="31750">
                            <a:solidFill>
                              <a:srgbClr val="292929"/>
                            </a:solidFill>
                            <a:prstDash val="sysDot"/>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5862143" name="Straight Arrow Connector 79"/>
                        <wps:cNvCnPr/>
                        <wps:spPr>
                          <a:xfrm>
                            <a:off x="836981" y="1048969"/>
                            <a:ext cx="0" cy="605155"/>
                          </a:xfrm>
                          <a:prstGeom prst="straightConnector1">
                            <a:avLst/>
                          </a:prstGeom>
                          <a:ln w="38100">
                            <a:solidFill>
                              <a:srgbClr val="292929"/>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7988477" name="Straight Arrow Connector 79"/>
                        <wps:cNvCnPr/>
                        <wps:spPr>
                          <a:xfrm>
                            <a:off x="836981" y="2555901"/>
                            <a:ext cx="0" cy="605155"/>
                          </a:xfrm>
                          <a:prstGeom prst="straightConnector1">
                            <a:avLst/>
                          </a:prstGeom>
                          <a:ln w="38100">
                            <a:solidFill>
                              <a:srgbClr val="292929"/>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3229280" name="Straight Arrow Connector 80"/>
                        <wps:cNvCnPr/>
                        <wps:spPr>
                          <a:xfrm>
                            <a:off x="1956054" y="3331464"/>
                            <a:ext cx="431596" cy="0"/>
                          </a:xfrm>
                          <a:prstGeom prst="straightConnector1">
                            <a:avLst/>
                          </a:prstGeom>
                          <a:ln w="38100">
                            <a:solidFill>
                              <a:srgbClr val="292929"/>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56893478" name="Straight Arrow Connector 80"/>
                        <wps:cNvCnPr/>
                        <wps:spPr>
                          <a:xfrm>
                            <a:off x="4947971" y="3338779"/>
                            <a:ext cx="431596" cy="0"/>
                          </a:xfrm>
                          <a:prstGeom prst="straightConnector1">
                            <a:avLst/>
                          </a:prstGeom>
                          <a:ln w="38100">
                            <a:solidFill>
                              <a:srgbClr val="292929"/>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46118865" name="Straight Arrow Connector 82"/>
                        <wps:cNvCnPr/>
                        <wps:spPr>
                          <a:xfrm>
                            <a:off x="3258160" y="2300021"/>
                            <a:ext cx="921385" cy="0"/>
                          </a:xfrm>
                          <a:prstGeom prst="straightConnector1">
                            <a:avLst/>
                          </a:prstGeom>
                          <a:ln w="38100">
                            <a:solidFill>
                              <a:srgbClr val="292929"/>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467152810" name="Straight Arrow Connector 82"/>
                        <wps:cNvCnPr/>
                        <wps:spPr>
                          <a:xfrm>
                            <a:off x="3258160" y="2848661"/>
                            <a:ext cx="921385" cy="0"/>
                          </a:xfrm>
                          <a:prstGeom prst="straightConnector1">
                            <a:avLst/>
                          </a:prstGeom>
                          <a:ln w="38100">
                            <a:solidFill>
                              <a:srgbClr val="292929"/>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42468274" name="Straight Arrow Connector 83"/>
                        <wps:cNvCnPr/>
                        <wps:spPr>
                          <a:xfrm flipV="1">
                            <a:off x="3343046" y="2408225"/>
                            <a:ext cx="769544" cy="321868"/>
                          </a:xfrm>
                          <a:prstGeom prst="straightConnector1">
                            <a:avLst/>
                          </a:prstGeom>
                          <a:ln w="38100">
                            <a:solidFill>
                              <a:srgbClr val="292929"/>
                            </a:solidFill>
                            <a:prstDash val="sysDot"/>
                            <a:headEnd type="triangle"/>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D637DCF" id="Group 84" o:spid="_x0000_s1026" style="position:absolute;margin-left:0;margin-top:-8.25pt;width:452.65pt;height:283.15pt;z-index:251660290" coordsize="57486,35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7AbsAgAAGJSAAAOAAAAZHJzL2Uyb0RvYy54bWzsXFmP27oZfS/Q/yDovRmR2o04F9PJTVAg&#10;uDfIpA3QN40WW60sqhQn9txf38NF8jLj2E7qycDlBHC0UBT18ePh4bfw9S+rReN8LXlfs3bqklee&#10;65Rtzoq6nU3dv39+95fEdXqRtUXWsLacug9l7/7y5s9/er3sJiVlc9YUJXdQSdtPlt3UnQvRTa6u&#10;+nxeLrL+FevKFjcrxheZwCmfXRU8W6L2RXNFPS+6WjJedJzlZd/j6lt9032j6q+qMhe/V1VfCqeZ&#10;umibUL9c/d7J36s3r7PJjGfdvM5NM7LvaMUiq1u8dKzqbSYy557Xj6pa1DlnPavEq5wtrlhV1Xmp&#10;vgFfQ7ydr3nP2X2nvmU2Wc66UUwQ7Y6cvrva/Lev73l3233kkMSym0EW6kx+y6riC/k/WumslMge&#10;RpGVK+HkuBjGQRKFoevkuOeHaUR8qoWazyH5R8/l818PPHk1vPhqqznLDgrSr2XQ/5gMbudZVyrR&#10;9hPI4CN36mLqJkFEgjgKfddpswXU9RMUKGtnTTlxPrH7tigL54bxFvruEF9+p2wWnh8F2E96yPJH&#10;pTfKIJt0vBfvS7Zw5MHUhUa0hWyV0rbs64deKLUrTIOz4l+uUy0aKPHXrHFCL1HNRIWmLI6GKuWD&#10;LXtXN40aBU3rLNGHCfE8VXnPmrqQd2W5ns/ubhruoFKUUX/y81HbRjGcNS0uSqFoMagj8dCUso6m&#10;/VRWkDPUhuo3yFFejtVmeV62guhb86wo9dtI6KFF5mXDE+rVqkJZc4VWjnWbCoaSupKhbl2NKS8f&#10;LRVIjA+bT//Ww+MT6s2sFePDi7pl/Kkva/BV5s26/CAkLRoppTtWPEALOdMQ1Xf5uxo9/iHrxceM&#10;ozuBXsBZ8Tt+qoahp5g5cp054388dV2WxzDBXddZAuOmbv+f+4yXrtP8rcUASkkQSFBUJ0EYU5zw&#10;zTt3m3fa+8UNQ+8TIHqXq0NZXjTDYcXZ4gvg+Fq+FbeyNse7p24u+HByIzT2AtDz8vpaFQMQdpn4&#10;0N52uaxcSlVq6OfVl4x3Ru0F8OY3Ngxao8xaouuy8smWXd8LVtVC3lzL1ZwAQPSQPTuSRBEJ/SD2&#10;ogFJ/onp7zO+onT8aAc4HLH6K8OgUDqyHjsDDo4ATPwgjFLXAdKSmKZUD22osEFUEvhpGBgsjkkc&#10;hsOwGZB8GPkDmGzhyFqcEm+0MA047IxosbpbofRavDvatdaJl9QlJA08EkQ0ggJrdN/ok/g7+4R6&#10;URgnVHWKT1LqU4W3607xqbcxQeI+CQ0UnKFT1CQ2qpGBlO2R/0L7Jk7SGNwhBmwcnHlPm3hJ4pMo&#10;xTjEsImTMKKGnwyjxo9TQr1AMxgapTGlaoBiMtvXQyfOwdRLTZcfOQfTMMCM5+QSsXlbqIfXuKCO&#10;7Jxq51Qzwf7fzKlhEiZpKIfnYYwgIwoexc4JxcwA1i+nVprEcSLH3BrECVgxoWZmDX1fDk89XR4P&#10;EY+n1w3mDBq9TTnvZgNj3CqlOTrFn5pFBvpqVgHsXpT8dl4snbvmnn/KCqzPvERCSVHLxYPm9jgB&#10;CaMxWLW8lTUzrNxFAyrHxJdazBXLksxMSkAyhpGg3zVZ/m91OWu6eaaZNWQxSsOUVuR8bIw606RZ&#10;tXOHTPQWyo6AMkm51OyuZq8N5vWsCwYitQk6o1cMOLCrhf7VSbaXYQkje3BtdyD4C2F7SMHuD9Kf&#10;U6EtjYIktdhmsU0B8Qs0fYzYNhL7n2EMsdjWncWmGgdxEmFhN666v2VTPY21BUBNLOgUbUu9gCRq&#10;nWVpm6Vto41Wm5t/mlV3hLZArhcsbbswI29AgsT3UiDQOVmbhTbprLMr0rJSNokX4rAaoU1ZIiy0&#10;XRa0kZAQLwzi+BhoG20SR9na4DKJfekYg7GNRvCIwCGzbW0j8EsO1raAJpE2dp1kkD/N2iZW2u+4&#10;YdaK93qddwxyckxuXdqx5Mm6dWs2ShlPubXfwd66V9CX5N4f0XJ0/v6MNa51+Msos7Msc4nvJ8r/&#10;ftQ69wcQU9oKU+Wu3ljoWsS0Hg81pyAWSU5IFxAQNSLmGJphEfOiQqTgziVhgtiL81JMEqYpwNlS&#10;TBUoOnplrYtYBq9eJMVUwQs/a0FuKeYZKWZKg9Dz4QA+wt54GsUMsApPIrMoJwTQbBFTh9ZbxBwi&#10;k5T/+CIRU/kNLWJeXBR+7INh+jAmnhkw4d9O4AWyVky59rSAefmASVT8q0XMi0NMEvs0lZE0Ywrk&#10;reBZPZsL55pztkT6Y9sibYhxRwdJSx2A2+emNRmkQ+bfOnvCpI+SMCIe1uHS7eOniYdMpi289KPY&#10;82ELkImkB6Kre9OksS3GeyOzIR87fkxeI/KhDuU1IqcK/x57a3Q8zdusn+uQ5/6hf8uEbv68zIpf&#10;28IRD9JFLXit0kX1PZHVzdP3jP/niFDoI7IZn6ZkR8S8PHcs4NoVVn07DVJ2olSs58vXoyHcjEig&#10;G4jCfq0fueJRWp/4UZpgvSYTCzzE4e5qvVH4yIMt7EBi2Hdp/RHZvPu13urvMJPrcf+C9TeK0yTZ&#10;cNefQX9pGIYpwji3UNvq7z4josVfXjy1qcWeDAjwDpnSPDoD9iowikADj6cdaQhwRXqnpB2+jzQv&#10;FYq59p0GWCPK9NBz8Q6LwI93eNAkbQzSVR7LozZSeMEIjHCpCLQZ0e4HOcSJKhykQZzGmkRAhZGe&#10;uEOdrQpbEP5fpKEhDT6C7R/7FRxW4U33wuHFnw9+TSKAO1CY+sghpDs8IqXIsTUJtudY/f0QCts1&#10;3mUgdBDFJKRQhbOqd4IdsXZDWq167ya4b2/IZE0Yp+wLt4dCBzSIEhqD6+pslP0Ueky03G/DcKqm&#10;7v4Bq4XK9zc2POx84GOO0DAeeMl6GwKzBVEcYQcis5cKtrpJIhWLAGvXnn0Snt+mIbcosJY8s9Pa&#10;M/Nw2PTURobKkWw2XZQ7JW6eK8vfemvIN/8FAAD//wMAUEsDBBQABgAIAAAAIQD1JuK74AAAAAgB&#10;AAAPAAAAZHJzL2Rvd25yZXYueG1sTI9Ba8JAFITvhf6H5Qm96Sa1EY15EZG2JylUC6W3Z/aZBLO7&#10;Ibsm8d93e6rHYYaZb7LNqBvRc+dqaxDiWQSCTWFVbUqEr+PbdAnCeTKKGmsY4cYONvnjQ0apsoP5&#10;5P7gSxFKjEsJofK+TaV0RcWa3My2bIJ3tp0mH2RXStXREMp1I5+jaCE11SYsVNTyruLicrhqhPeB&#10;hu08fu33l/Pu9nNMPr73MSM+TcbtGoTn0f+H4Q8/oEMemE72apQTDUI44hGm8SIBEexVlMxBnBCS&#10;l9USZJ7J+wP5LwAAAP//AwBQSwECLQAUAAYACAAAACEAtoM4kv4AAADhAQAAEwAAAAAAAAAAAAAA&#10;AAAAAAAAW0NvbnRlbnRfVHlwZXNdLnhtbFBLAQItABQABgAIAAAAIQA4/SH/1gAAAJQBAAALAAAA&#10;AAAAAAAAAAAAAC8BAABfcmVscy8ucmVsc1BLAQItABQABgAIAAAAIQANY7AbsAgAAGJSAAAOAAAA&#10;AAAAAAAAAAAAAC4CAABkcnMvZTJvRG9jLnhtbFBLAQItABQABgAIAAAAIQD1JuK74AAAAAgBAAAP&#10;AAAAAAAAAAAAAAAAAAoLAABkcnMvZG93bnJldi54bWxQSwUGAAAAAAQABADzAAAAFwwAAAAA&#10;">
                <v:roundrect id="Rectangle: Rounded Corners 13" o:spid="_x0000_s1027" style="position:absolute;width:57486;height:35961;visibility:visible;mso-wrap-style:square;v-text-anchor:middle" arcsize="333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X/dyQAAAOIAAAAPAAAAZHJzL2Rvd25yZXYueG1sRI9BS8NA&#10;FITvgv9heYI3u6nGWGK3JQiFUrwYLV4f2ZdsMPs27m7T9N+7guBxmJlvmPV2toOYyIfesYLlIgNB&#10;3Djdc6fg4313twIRIrLGwTEpuFCA7eb6ao2ldmd+o6mOnUgQDiUqMDGOpZShMWQxLNxInLzWeYsx&#10;Sd9J7fGc4HaQ91lWSIs9pwWDI70Yar7qk1VQfbf1cZyKz1c+HvbaVFPum1ap25u5egYRaY7/4b/2&#10;XitY5cUyfyoeH+D3UroDcvMDAAD//wMAUEsBAi0AFAAGAAgAAAAhANvh9svuAAAAhQEAABMAAAAA&#10;AAAAAAAAAAAAAAAAAFtDb250ZW50X1R5cGVzXS54bWxQSwECLQAUAAYACAAAACEAWvQsW78AAAAV&#10;AQAACwAAAAAAAAAAAAAAAAAfAQAAX3JlbHMvLnJlbHNQSwECLQAUAAYACAAAACEAOll/3ckAAADi&#10;AAAADwAAAAAAAAAAAAAAAAAHAgAAZHJzL2Rvd25yZXYueG1sUEsFBgAAAAADAAMAtwAAAP0CAAAA&#10;AA==&#10;" filled="f" strokecolor="#333" strokeweight="3pt"/>
                <v:shapetype id="_x0000_t202" coordsize="21600,21600" o:spt="202" path="m,l,21600r21600,l21600,xe">
                  <v:stroke joinstyle="miter"/>
                  <v:path gradientshapeok="t" o:connecttype="rect"/>
                </v:shapetype>
                <v:shape id="ZoneTexte 36" o:spid="_x0000_s1028" type="#_x0000_t202" style="position:absolute;left:1345;top:17292;width:14396;height:7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JBVygAAAOIAAAAPAAAAZHJzL2Rvd25yZXYueG1sRI9Pa8JA&#10;FMTvhX6H5Qm91V2rRhtdpShCT0rjH+jtkX0modm3Ibs16bfvFoQeh5n5DbNc97YWN2p95VjDaKhA&#10;EOfOVFxoOB13z3MQPiAbrB2Thh/ysF49PiwxNa7jD7ploRARwj5FDWUITSqlz0uy6IeuIY7e1bUW&#10;Q5RtIU2LXYTbWr4olUiLFceFEhvalJR/Zd9Ww3l//bxM1KHY2mnTuV5Jtq9S66dB/7YAEagP/+F7&#10;+91oSJLRdDyZqQT+LsU7IFe/AAAA//8DAFBLAQItABQABgAIAAAAIQDb4fbL7gAAAIUBAAATAAAA&#10;AAAAAAAAAAAAAAAAAABbQ29udGVudF9UeXBlc10ueG1sUEsBAi0AFAAGAAgAAAAhAFr0LFu/AAAA&#10;FQEAAAsAAAAAAAAAAAAAAAAAHwEAAF9yZWxzLy5yZWxzUEsBAi0AFAAGAAgAAAAhAO5okFXKAAAA&#10;4gAAAA8AAAAAAAAAAAAAAAAABwIAAGRycy9kb3ducmV2LnhtbFBLBQYAAAAAAwADALcAAAD+AgAA&#10;AAA=&#10;" filled="f" stroked="f">
                  <v:textbox>
                    <w:txbxContent>
                      <w:p w14:paraId="5F4A1D19" w14:textId="77777777" w:rsidR="00527252" w:rsidRPr="00B43CE7" w:rsidRDefault="00527252" w:rsidP="00527252">
                        <w:pPr>
                          <w:jc w:val="center"/>
                          <w:rPr>
                            <w:rFonts w:ascii="Calibri" w:hAnsi="Calibri" w:cs="Calibri"/>
                            <w:b/>
                            <w:color w:val="000000" w:themeColor="text1"/>
                            <w:kern w:val="24"/>
                            <w:sz w:val="26"/>
                            <w:szCs w:val="26"/>
                          </w:rPr>
                        </w:pPr>
                        <w:r w:rsidRPr="00B43CE7">
                          <w:rPr>
                            <w:rFonts w:ascii="Calibri" w:hAnsi="Calibri" w:cs="Calibri"/>
                            <w:b/>
                            <w:color w:val="000000" w:themeColor="text1"/>
                            <w:kern w:val="24"/>
                            <w:sz w:val="26"/>
                            <w:szCs w:val="26"/>
                          </w:rPr>
                          <w:t>Increasing level of knowledge and confidence</w:t>
                        </w:r>
                      </w:p>
                    </w:txbxContent>
                  </v:textbox>
                </v:shape>
                <v:shape id="ZoneTexte 37" o:spid="_x0000_s1029" type="#_x0000_t202" style="position:absolute;left:20657;top:31923;width:32087;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tgdxgAAAOMAAAAPAAAAZHJzL2Rvd25yZXYueG1sRE9La8JA&#10;EL4X+h+WKXiru5EYanSVogielNoHeBuyYxKanQ3Z1cR/7wqFHud7z2I12EZcqfO1Yw3JWIEgLpyp&#10;udTw9bl9fQPhA7LBxjFpuJGH1fL5aYG5cT1/0PUYShFD2OeooQqhzaX0RUUW/di1xJE7u85iiGdX&#10;StNhH8NtIydKZdJizbGhwpbWFRW/x4vV8L0/n35SdSg3dtr2blCS7UxqPXoZ3ucgAg3hX/zn3pk4&#10;f5aqJM0mWQKPnyIAcnkHAAD//wMAUEsBAi0AFAAGAAgAAAAhANvh9svuAAAAhQEAABMAAAAAAAAA&#10;AAAAAAAAAAAAAFtDb250ZW50X1R5cGVzXS54bWxQSwECLQAUAAYACAAAACEAWvQsW78AAAAVAQAA&#10;CwAAAAAAAAAAAAAAAAAfAQAAX3JlbHMvLnJlbHNQSwECLQAUAAYACAAAACEAbR7YHcYAAADjAAAA&#10;DwAAAAAAAAAAAAAAAAAHAgAAZHJzL2Rvd25yZXYueG1sUEsFBgAAAAADAAMAtwAAAPoCAAAAAA==&#10;" filled="f" stroked="f">
                  <v:textbox>
                    <w:txbxContent>
                      <w:p w14:paraId="12A6294E" w14:textId="77777777" w:rsidR="00527252" w:rsidRPr="0022764F" w:rsidRDefault="00527252" w:rsidP="00527252">
                        <w:pPr>
                          <w:jc w:val="center"/>
                          <w:rPr>
                            <w:rFonts w:ascii="Calibri" w:hAnsi="Calibri" w:cs="Calibri"/>
                            <w:b/>
                            <w:color w:val="000000" w:themeColor="text1"/>
                            <w:kern w:val="24"/>
                            <w:sz w:val="24"/>
                            <w:szCs w:val="24"/>
                          </w:rPr>
                        </w:pPr>
                        <w:r w:rsidRPr="0022764F">
                          <w:rPr>
                            <w:rFonts w:ascii="Calibri" w:hAnsi="Calibri" w:cs="Calibri"/>
                            <w:b/>
                            <w:color w:val="000000" w:themeColor="text1"/>
                            <w:kern w:val="24"/>
                            <w:sz w:val="24"/>
                            <w:szCs w:val="24"/>
                          </w:rPr>
                          <w:t>Consideration of the Modifying Factors</w:t>
                        </w:r>
                      </w:p>
                    </w:txbxContent>
                  </v:textbox>
                </v:shape>
                <v:roundrect id="Rectangle: Rounded Corners 3" o:spid="_x0000_s1030" style="position:absolute;left:18316;top:7856;width:37913;height:26972;visibility:visible;mso-wrap-style:square;v-text-anchor:middle" arcsize="341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e6IywAAAOMAAAAPAAAAZHJzL2Rvd25yZXYueG1sRI9BT8Mw&#10;DIXvSPyHyEhcEEvHYB1l2VQhIbhNrJO4Wo3XFBqnNFlX/j0+IHG0/fze+9bbyXdqpCG2gQ3MZxko&#10;4jrYlhsDh+rldgUqJmSLXWAy8EMRtpvLizUWNpz5ncZ9apSYcCzQgEupL7SOtSOPcRZ6Yrkdw+Ax&#10;yTg02g54FnPf6bssW2qPLUuCw56eHdVf+5M3UI2L8uHz8IGufK2OFnc33/fdyZjrq6l8ApVoSv/i&#10;v+83K/Xz1WO+nC9yoRAmWYDe/AIAAP//AwBQSwECLQAUAAYACAAAACEA2+H2y+4AAACFAQAAEwAA&#10;AAAAAAAAAAAAAAAAAAAAW0NvbnRlbnRfVHlwZXNdLnhtbFBLAQItABQABgAIAAAAIQBa9CxbvwAA&#10;ABUBAAALAAAAAAAAAAAAAAAAAB8BAABfcmVscy8ucmVsc1BLAQItABQABgAIAAAAIQDnNe6IywAA&#10;AOMAAAAPAAAAAAAAAAAAAAAAAAcCAABkcnMvZG93bnJldi54bWxQSwUGAAAAAAMAAwC3AAAA/wIA&#10;AAAA&#10;" filled="f" strokecolor="#0a121c [484]" strokeweight="2pt">
                  <v:stroke endcap="round"/>
                </v:roundrect>
                <v:roundrect id="Rectangle: Rounded Corners 11" o:spid="_x0000_s1031" style="position:absolute;left:1214;top:1287;width:13811;height:5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2MywAAAOIAAAAPAAAAZHJzL2Rvd25yZXYueG1sRI9Ba8JA&#10;FITvhf6H5RV6q5umjcboKqVQ2lsxVfH4yD6zabNvQ3bV1F/fFYQeh5n5hpkvB9uKI/W+cazgcZSA&#10;IK6cbrhWsP56e8hB+ICssXVMCn7Jw3JxezPHQrsTr+hYhlpECPsCFZgQukJKXxmy6EeuI47e3vUW&#10;Q5R9LXWPpwi3rUyTZCwtNhwXDHb0aqj6KQ9WQTkpu03iqvfDtP42n0/NbrM9Pyt1fze8zEAEGsJ/&#10;+Nr+0AqyPMunWZqO4XIp3gG5+AMAAP//AwBQSwECLQAUAAYACAAAACEA2+H2y+4AAACFAQAAEwAA&#10;AAAAAAAAAAAAAAAAAAAAW0NvbnRlbnRfVHlwZXNdLnhtbFBLAQItABQABgAIAAAAIQBa9CxbvwAA&#10;ABUBAAALAAAAAAAAAAAAAAAAAB8BAABfcmVscy8ucmVsc1BLAQItABQABgAIAAAAIQBfOu2MywAA&#10;AOIAAAAPAAAAAAAAAAAAAAAAAAcCAABkcnMvZG93bnJldi54bWxQSwUGAAAAAAMAAwC3AAAA/wIA&#10;AAAA&#10;" fillcolor="white [3212]" strokecolor="#0a121c [484]" strokeweight="1.75pt">
                  <v:shadow on="t" color="black" opacity="26214f" origin="-.5,-.5" offset=".74836mm,.74836mm"/>
                  <v:textbox inset="3mm,0">
                    <w:txbxContent>
                      <w:p w14:paraId="7BD0CA13" w14:textId="77777777" w:rsidR="00527252" w:rsidRPr="005063E5" w:rsidRDefault="00527252" w:rsidP="00527252">
                        <w:pPr>
                          <w:jc w:val="center"/>
                          <w:rPr>
                            <w:rFonts w:ascii="Calibri" w:hAnsi="Calibri" w:cs="Calibri"/>
                            <w:b/>
                            <w:bCs/>
                            <w:color w:val="000000" w:themeColor="text1"/>
                            <w:sz w:val="28"/>
                            <w:szCs w:val="28"/>
                          </w:rPr>
                        </w:pPr>
                        <w:r w:rsidRPr="005063E5">
                          <w:rPr>
                            <w:rFonts w:ascii="Calibri" w:hAnsi="Calibri" w:cs="Calibri"/>
                            <w:b/>
                            <w:bCs/>
                            <w:color w:val="000000" w:themeColor="text1"/>
                            <w:sz w:val="28"/>
                            <w:szCs w:val="28"/>
                          </w:rPr>
                          <w:t>EXPLORATION INFORMATION</w:t>
                        </w:r>
                      </w:p>
                    </w:txbxContent>
                  </v:textbox>
                </v:roundrect>
                <v:roundrect id="Rectangle: Rounded Corners 11" o:spid="_x0000_s1032" style="position:absolute;left:19648;top:1287;width:13812;height:5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n1ygAAAOMAAAAPAAAAZHJzL2Rvd25yZXYueG1sRE/LasMw&#10;ELwX+g9iA701ct6xGyWEQGlvIc6DHBdrazm1VsZSErdfXxUKndvu7MzsLFadrcWNWl85VjDoJyCI&#10;C6crLhUc9q/PcxA+IGusHZOCL/KwWj4+LDDT7s47uuWhFNGEfYYKTAhNJqUvDFn0fdcQR+7DtRZD&#10;HNtS6hbv0dzWcpgkU2mx4phgsKGNoeIzv1oF+Sxvjokr3q5peTHbUXU+nr7HSj31uvULiEBd+D/+&#10;U7/r+H7EZDwdpCn8dooLkMsfAAAA//8DAFBLAQItABQABgAIAAAAIQDb4fbL7gAAAIUBAAATAAAA&#10;AAAAAAAAAAAAAAAAAABbQ29udGVudF9UeXBlc10ueG1sUEsBAi0AFAAGAAgAAAAhAFr0LFu/AAAA&#10;FQEAAAsAAAAAAAAAAAAAAAAAHwEAAF9yZWxzLy5yZWxzUEsBAi0AFAAGAAgAAAAhAHCT+fXKAAAA&#10;4wAAAA8AAAAAAAAAAAAAAAAABwIAAGRycy9kb3ducmV2LnhtbFBLBQYAAAAAAwADALcAAAD+AgAA&#10;AAA=&#10;" fillcolor="white [3212]" strokecolor="#0a121c [484]" strokeweight="1.75pt">
                  <v:shadow on="t" color="black" opacity="26214f" origin="-.5,-.5" offset=".74836mm,.74836mm"/>
                  <v:textbox inset="3mm,0">
                    <w:txbxContent>
                      <w:p w14:paraId="58D1F251" w14:textId="77777777" w:rsidR="00527252" w:rsidRPr="005063E5" w:rsidRDefault="00527252" w:rsidP="00527252">
                        <w:pPr>
                          <w:jc w:val="center"/>
                          <w:rPr>
                            <w:rFonts w:ascii="Calibri" w:hAnsi="Calibri" w:cs="Calibri"/>
                            <w:b/>
                            <w:bCs/>
                            <w:color w:val="000000" w:themeColor="text1"/>
                            <w:sz w:val="28"/>
                            <w:szCs w:val="28"/>
                          </w:rPr>
                        </w:pPr>
                        <w:r w:rsidRPr="005063E5">
                          <w:rPr>
                            <w:rFonts w:ascii="Calibri" w:hAnsi="Calibri" w:cs="Calibri"/>
                            <w:b/>
                            <w:bCs/>
                            <w:color w:val="000000" w:themeColor="text1"/>
                            <w:sz w:val="28"/>
                            <w:szCs w:val="28"/>
                          </w:rPr>
                          <w:t xml:space="preserve">EXPLORATION </w:t>
                        </w:r>
                        <w:r>
                          <w:rPr>
                            <w:rFonts w:ascii="Calibri" w:hAnsi="Calibri" w:cs="Calibri"/>
                            <w:b/>
                            <w:bCs/>
                            <w:color w:val="000000" w:themeColor="text1"/>
                            <w:sz w:val="28"/>
                            <w:szCs w:val="28"/>
                          </w:rPr>
                          <w:t>TARGET</w:t>
                        </w:r>
                      </w:p>
                    </w:txbxContent>
                  </v:textbox>
                </v:roundrect>
                <v:roundrect id="Rectangle: Rounded Corners 11" o:spid="_x0000_s1033" style="position:absolute;left:41155;top:9041;width:13811;height:5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kmfygAAAOIAAAAPAAAAZHJzL2Rvd25yZXYueG1sRI9BawIx&#10;FITvhf6H8AreamIVV1ejlILorXRbxeNj89ys3bwsm6jb/vqmUOhxmJlvmOW6d424UhdqzxpGQwWC&#10;uPSm5krDx/vmcQYiRGSDjWfS8EUB1qv7uyXmxt/4ja5FrESCcMhRg42xzaUMpSWHYehb4uSdfOcw&#10;JtlV0nR4S3DXyCelptJhzWnBYksvlsrP4uI0FFnR7pUvt5d5dbav4/q4P3xPtB489M8LEJH6+B/+&#10;a++MhmySzabjTI3g91K6A3L1AwAA//8DAFBLAQItABQABgAIAAAAIQDb4fbL7gAAAIUBAAATAAAA&#10;AAAAAAAAAAAAAAAAAABbQ29udGVudF9UeXBlc10ueG1sUEsBAi0AFAAGAAgAAAAhAFr0LFu/AAAA&#10;FQEAAAsAAAAAAAAAAAAAAAAAHwEAAF9yZWxzLy5yZWxzUEsBAi0AFAAGAAgAAAAhAFa2SZ/KAAAA&#10;4gAAAA8AAAAAAAAAAAAAAAAABwIAAGRycy9kb3ducmV2LnhtbFBLBQYAAAAAAwADALcAAAD+AgAA&#10;AAA=&#10;" fillcolor="white [3212]" strokecolor="#0a121c [484]" strokeweight="1.75pt">
                  <v:shadow on="t" color="black" opacity="26214f" origin="-.5,-.5" offset=".74836mm,.74836mm"/>
                  <v:textbox inset="3mm,0">
                    <w:txbxContent>
                      <w:p w14:paraId="765069CF" w14:textId="77777777" w:rsidR="00527252" w:rsidRPr="005063E5" w:rsidRDefault="00527252" w:rsidP="00527252">
                        <w:pPr>
                          <w:jc w:val="center"/>
                          <w:rPr>
                            <w:rFonts w:ascii="Calibri" w:hAnsi="Calibri" w:cs="Calibri"/>
                            <w:b/>
                            <w:bCs/>
                            <w:color w:val="000000" w:themeColor="text1"/>
                            <w:sz w:val="28"/>
                            <w:szCs w:val="28"/>
                          </w:rPr>
                        </w:pPr>
                        <w:r>
                          <w:rPr>
                            <w:rFonts w:ascii="Calibri" w:hAnsi="Calibri" w:cs="Calibri"/>
                            <w:b/>
                            <w:bCs/>
                            <w:color w:val="000000" w:themeColor="text1"/>
                            <w:sz w:val="28"/>
                            <w:szCs w:val="28"/>
                          </w:rPr>
                          <w:t>MINERAL RESERVES</w:t>
                        </w:r>
                      </w:p>
                    </w:txbxContent>
                  </v:textbox>
                </v:roundrect>
                <v:roundrect id="Rectangle: Rounded Corners 11" o:spid="_x0000_s1034" style="position:absolute;left:19648;top:9041;width:13812;height:5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Q7UywAAAOIAAAAPAAAAZHJzL2Rvd25yZXYueG1sRI9PawIx&#10;FMTvhX6H8AreNFEX/2yNUgrF3sS1lh4fm9fNtpuXZRN166dvCkKPw8z8hllteteIM3Wh9qxhPFIg&#10;iEtvaq40vB1ehgsQISIbbDyThh8KsFnf360wN/7CezoXsRIJwiFHDTbGNpcylJYchpFviZP36TuH&#10;McmukqbDS4K7Rk6UmkmHNacFiy09Wyq/i5PTUMyL9qh8uT0tqy+7m9Yfx/drpvXgoX96BBGpj//h&#10;W/vVaJhl42wxVcsJ/F1Kd0CufwEAAP//AwBQSwECLQAUAAYACAAAACEA2+H2y+4AAACFAQAAEwAA&#10;AAAAAAAAAAAAAAAAAAAAW0NvbnRlbnRfVHlwZXNdLnhtbFBLAQItABQABgAIAAAAIQBa9CxbvwAA&#10;ABUBAAALAAAAAAAAAAAAAAAAAB8BAABfcmVscy8ucmVsc1BLAQItABQABgAIAAAAIQC33Q7UywAA&#10;AOIAAAAPAAAAAAAAAAAAAAAAAAcCAABkcnMvZG93bnJldi54bWxQSwUGAAAAAAMAAwC3AAAA/wIA&#10;AAAA&#10;" fillcolor="white [3212]" strokecolor="#0a121c [484]" strokeweight="1.75pt">
                  <v:shadow on="t" color="black" opacity="26214f" origin="-.5,-.5" offset=".74836mm,.74836mm"/>
                  <v:textbox inset="3mm,0">
                    <w:txbxContent>
                      <w:p w14:paraId="195207B1" w14:textId="77777777" w:rsidR="00527252" w:rsidRPr="005063E5" w:rsidRDefault="00527252" w:rsidP="00527252">
                        <w:pPr>
                          <w:jc w:val="center"/>
                          <w:rPr>
                            <w:rFonts w:ascii="Calibri" w:hAnsi="Calibri" w:cs="Calibri"/>
                            <w:b/>
                            <w:bCs/>
                            <w:color w:val="000000" w:themeColor="text1"/>
                            <w:sz w:val="28"/>
                            <w:szCs w:val="28"/>
                          </w:rPr>
                        </w:pPr>
                        <w:r>
                          <w:rPr>
                            <w:rFonts w:ascii="Calibri" w:hAnsi="Calibri" w:cs="Calibri"/>
                            <w:b/>
                            <w:bCs/>
                            <w:color w:val="000000" w:themeColor="text1"/>
                            <w:sz w:val="28"/>
                            <w:szCs w:val="28"/>
                          </w:rPr>
                          <w:t>MINERAL RESOURCES</w:t>
                        </w:r>
                      </w:p>
                    </w:txbxContent>
                  </v:textbox>
                </v:roundrect>
                <v:roundrect id="Rectangle: Rounded Corners 12" o:spid="_x0000_s1035" style="position:absolute;left:20673;top:26232;width:11144;height:42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NP2xgAAAOIAAAAPAAAAZHJzL2Rvd25yZXYueG1sRE/dasIw&#10;FL4f+A7hDLybacv864wyxkRB2Wb1AQ7NsS02J6WJWt/eCMIuP77/2aIztbhQ6yrLCuJBBII4t7ri&#10;QsFhv3ybgHAeWWNtmRTcyMFi3nuZYartlXd0yXwhQgi7FBWU3jeplC4vyaAb2IY4cEfbGvQBtoXU&#10;LV5DuKllEkUjabDi0FBiQ18l5afsbBRMz1Ye18lf8xP/Zrfvw5YT3KyU6r92nx8gPHX+X/x0r3WY&#10;P4zjaPg+HsPjUsAg53cAAAD//wMAUEsBAi0AFAAGAAgAAAAhANvh9svuAAAAhQEAABMAAAAAAAAA&#10;AAAAAAAAAAAAAFtDb250ZW50X1R5cGVzXS54bWxQSwECLQAUAAYACAAAACEAWvQsW78AAAAVAQAA&#10;CwAAAAAAAAAAAAAAAAAfAQAAX3JlbHMvLnJlbHNQSwECLQAUAAYACAAAACEAd6jT9sYAAADiAAAA&#10;DwAAAAAAAAAAAAAAAAAHAgAAZHJzL2Rvd25yZXYueG1sUEsFBgAAAAADAAMAtwAAAPoCAAAAAA==&#10;" fillcolor="black [3213]" strokecolor="black [3213]" strokeweight="2pt">
                  <v:fill opacity="49087f"/>
                  <v:shadow on="t" color="black" opacity="26214f" origin="-.5,-.5" offset=".74836mm,.74836mm"/>
                  <v:textbox>
                    <w:txbxContent>
                      <w:p w14:paraId="76AEDE3A" w14:textId="77777777" w:rsidR="00527252" w:rsidRPr="005063E5" w:rsidRDefault="00527252" w:rsidP="00527252">
                        <w:pPr>
                          <w:jc w:val="center"/>
                          <w:rPr>
                            <w:rFonts w:ascii="Calibri" w:hAnsi="Calibri" w:cs="Calibri"/>
                            <w:b/>
                            <w:bCs/>
                            <w:sz w:val="28"/>
                            <w:szCs w:val="28"/>
                          </w:rPr>
                        </w:pPr>
                        <w:r>
                          <w:rPr>
                            <w:rFonts w:ascii="Calibri" w:hAnsi="Calibri" w:cs="Calibri"/>
                            <w:b/>
                            <w:bCs/>
                            <w:sz w:val="28"/>
                            <w:szCs w:val="28"/>
                          </w:rPr>
                          <w:t>MEASURED</w:t>
                        </w:r>
                      </w:p>
                    </w:txbxContent>
                  </v:textbox>
                </v:roundrect>
                <v:roundrect id="Rectangle: Rounded Corners 12" o:spid="_x0000_s1036" style="position:absolute;left:20673;top:21111;width:11144;height:42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K5fyAAAAOMAAAAPAAAAZHJzL2Rvd25yZXYueG1sRE/basJA&#10;EH0v9B+WKfhWNxctmrpKKYpCpWr0A4bsmIRmZ0N21fj3XaHQxzn3mS1604grda62rCAeRiCIC6tr&#10;LhWcjqvXCQjnkTU2lknBnRws5s9PM8y0vfGBrrkvRQhhl6GCyvs2k9IVFRl0Q9sSB+5sO4M+nF0p&#10;dYe3EG4amUTRmzRYc2iosKXPioqf/GIUTC9WnjfJvv2Od/l9edpygl9rpQYv/cc7CE+9/xf/uTc6&#10;zE/TySidjkcxPH4KAMj5LwAAAP//AwBQSwECLQAUAAYACAAAACEA2+H2y+4AAACFAQAAEwAAAAAA&#10;AAAAAAAAAAAAAAAAW0NvbnRlbnRfVHlwZXNdLnhtbFBLAQItABQABgAIAAAAIQBa9CxbvwAAABUB&#10;AAALAAAAAAAAAAAAAAAAAB8BAABfcmVscy8ucmVsc1BLAQItABQABgAIAAAAIQBm9K5fyAAAAOMA&#10;AAAPAAAAAAAAAAAAAAAAAAcCAABkcnMvZG93bnJldi54bWxQSwUGAAAAAAMAAwC3AAAA/AIAAAAA&#10;" fillcolor="black [3213]" strokecolor="black [3213]" strokeweight="2pt">
                  <v:fill opacity="49087f"/>
                  <v:shadow on="t" color="black" opacity="26214f" origin="-.5,-.5" offset=".74836mm,.74836mm"/>
                  <v:textbox>
                    <w:txbxContent>
                      <w:p w14:paraId="1337C3C9" w14:textId="77777777" w:rsidR="00527252" w:rsidRPr="005063E5" w:rsidRDefault="00527252" w:rsidP="00527252">
                        <w:pPr>
                          <w:jc w:val="center"/>
                          <w:rPr>
                            <w:rFonts w:ascii="Calibri" w:hAnsi="Calibri" w:cs="Calibri"/>
                            <w:b/>
                            <w:bCs/>
                            <w:sz w:val="28"/>
                            <w:szCs w:val="28"/>
                          </w:rPr>
                        </w:pPr>
                        <w:r>
                          <w:rPr>
                            <w:rFonts w:ascii="Calibri" w:hAnsi="Calibri" w:cs="Calibri"/>
                            <w:b/>
                            <w:bCs/>
                            <w:sz w:val="28"/>
                            <w:szCs w:val="28"/>
                          </w:rPr>
                          <w:t>INDICATED</w:t>
                        </w:r>
                      </w:p>
                    </w:txbxContent>
                  </v:textbox>
                </v:roundrect>
                <v:roundrect id="Rectangle: Rounded Corners 12" o:spid="_x0000_s1037" style="position:absolute;left:20673;top:15991;width:11144;height:42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7vyQAAAOIAAAAPAAAAZHJzL2Rvd25yZXYueG1sRI/LasMw&#10;EEX3hfyDmEB3tWyDi+tGDiGkNNCStm4+YLDGD2KNjKUkzt9Xi0KWl/virNazGcSFJtdbVpBEMQji&#10;2uqeWwXH37enHITzyBoHy6TgRg7W5eJhhYW2V/6hS+VbEUbYFaig834spHR1RwZdZEfi4DV2MuiD&#10;nFqpJ7yGcTPINI6fpcGew0OHI207qk/V2Sh4OVvZ7NPv8ZB8Vbfd8ZNT/HhX6nE5b15BeJr9Pfzf&#10;3msFWZ4lWZ6kASIgBRyQ5R8AAAD//wMAUEsBAi0AFAAGAAgAAAAhANvh9svuAAAAhQEAABMAAAAA&#10;AAAAAAAAAAAAAAAAAFtDb250ZW50X1R5cGVzXS54bWxQSwECLQAUAAYACAAAACEAWvQsW78AAAAV&#10;AQAACwAAAAAAAAAAAAAAAAAfAQAAX3JlbHMvLnJlbHNQSwECLQAUAAYACAAAACEA/J/+78kAAADi&#10;AAAADwAAAAAAAAAAAAAAAAAHAgAAZHJzL2Rvd25yZXYueG1sUEsFBgAAAAADAAMAtwAAAP0CAAAA&#10;AA==&#10;" fillcolor="black [3213]" strokecolor="black [3213]" strokeweight="2pt">
                  <v:fill opacity="49087f"/>
                  <v:shadow on="t" color="black" opacity="26214f" origin="-.5,-.5" offset=".74836mm,.74836mm"/>
                  <v:textbox>
                    <w:txbxContent>
                      <w:p w14:paraId="162001B7" w14:textId="77777777" w:rsidR="00527252" w:rsidRPr="005063E5" w:rsidRDefault="00527252" w:rsidP="00527252">
                        <w:pPr>
                          <w:jc w:val="center"/>
                          <w:rPr>
                            <w:rFonts w:ascii="Calibri" w:hAnsi="Calibri" w:cs="Calibri"/>
                            <w:b/>
                            <w:bCs/>
                            <w:sz w:val="28"/>
                            <w:szCs w:val="28"/>
                          </w:rPr>
                        </w:pPr>
                        <w:r>
                          <w:rPr>
                            <w:rFonts w:ascii="Calibri" w:hAnsi="Calibri" w:cs="Calibri"/>
                            <w:b/>
                            <w:bCs/>
                            <w:sz w:val="28"/>
                            <w:szCs w:val="28"/>
                          </w:rPr>
                          <w:t>INFERRED</w:t>
                        </w:r>
                      </w:p>
                    </w:txbxContent>
                  </v:textbox>
                </v:roundrect>
                <v:roundrect id="Rectangle: Rounded Corners 12" o:spid="_x0000_s1038" style="position:absolute;left:42618;top:21185;width:11144;height:42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DDwxwAAAOMAAAAPAAAAZHJzL2Rvd25yZXYueG1sRE/basJA&#10;EH0v9B+WKfRNN4mtaHSVIpYKipfoBwzZMQnNzobsqvHv3YLQxzn3mc47U4srta6yrCDuRyCIc6sr&#10;LhScjt+9EQjnkTXWlknBnRzMZ68vU0y1vfGBrpkvRAhhl6KC0vsmldLlJRl0fdsQB+5sW4M+nG0h&#10;dYu3EG5qmUTRUBqsODSU2NCipPw3uxgF44uV51Wyb7bxLrsvTxtOcP2j1Ptb9zUB4anz/+Kne6XD&#10;/ME4+fiMBnEMfz8FAOTsAQAA//8DAFBLAQItABQABgAIAAAAIQDb4fbL7gAAAIUBAAATAAAAAAAA&#10;AAAAAAAAAAAAAABbQ29udGVudF9UeXBlc10ueG1sUEsBAi0AFAAGAAgAAAAhAFr0LFu/AAAAFQEA&#10;AAsAAAAAAAAAAAAAAAAAHwEAAF9yZWxzLy5yZWxzUEsBAi0AFAAGAAgAAAAhALOsMPDHAAAA4wAA&#10;AA8AAAAAAAAAAAAAAAAABwIAAGRycy9kb3ducmV2LnhtbFBLBQYAAAAAAwADALcAAAD7AgAAAAA=&#10;" fillcolor="black [3213]" strokecolor="black [3213]" strokeweight="2pt">
                  <v:fill opacity="49087f"/>
                  <v:shadow on="t" color="black" opacity="26214f" origin="-.5,-.5" offset=".74836mm,.74836mm"/>
                  <v:textbox>
                    <w:txbxContent>
                      <w:p w14:paraId="2B3140B4" w14:textId="77777777" w:rsidR="00527252" w:rsidRPr="005063E5" w:rsidRDefault="00527252" w:rsidP="00527252">
                        <w:pPr>
                          <w:jc w:val="center"/>
                          <w:rPr>
                            <w:rFonts w:ascii="Calibri" w:hAnsi="Calibri" w:cs="Calibri"/>
                            <w:b/>
                            <w:bCs/>
                            <w:sz w:val="28"/>
                            <w:szCs w:val="28"/>
                          </w:rPr>
                        </w:pPr>
                        <w:r>
                          <w:rPr>
                            <w:rFonts w:ascii="Calibri" w:hAnsi="Calibri" w:cs="Calibri"/>
                            <w:b/>
                            <w:bCs/>
                            <w:sz w:val="28"/>
                            <w:szCs w:val="28"/>
                          </w:rPr>
                          <w:t>PROBABLE</w:t>
                        </w:r>
                      </w:p>
                    </w:txbxContent>
                  </v:textbox>
                </v:roundrect>
                <v:roundrect id="Rectangle: Rounded Corners 12" o:spid="_x0000_s1039" style="position:absolute;left:42618;top:26378;width:11144;height:42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aToygAAAOIAAAAPAAAAZHJzL2Rvd25yZXYueG1sRI/dasJA&#10;FITvhb7Dcgre1U2ithpdRUSpYOlP6gMcssckmD0bsqvGt+8KBS+HmfmGmS87U4sLta6yrCAeRCCI&#10;c6srLhQcfrcvExDOI2usLZOCGzlYLp56c0y1vfIPXTJfiABhl6KC0vsmldLlJRl0A9sQB+9oW4M+&#10;yLaQusVrgJtaJlH0Kg1WHBZKbGhdUn7KzkbB9GzlcZd8N5/xV3bbHD44wf27Uv3nbjUD4anzj/B/&#10;e6cVvA3j8WQ4GiVwvxTugFz8AQAA//8DAFBLAQItABQABgAIAAAAIQDb4fbL7gAAAIUBAAATAAAA&#10;AAAAAAAAAAAAAAAAAABbQ29udGVudF9UeXBlc10ueG1sUEsBAi0AFAAGAAgAAAAhAFr0LFu/AAAA&#10;FQEAAAsAAAAAAAAAAAAAAAAAHwEAAF9yZWxzLy5yZWxzUEsBAi0AFAAGAAgAAAAhAB1JpOjKAAAA&#10;4gAAAA8AAAAAAAAAAAAAAAAABwIAAGRycy9kb3ducmV2LnhtbFBLBQYAAAAAAwADALcAAAD+AgAA&#10;AAA=&#10;" fillcolor="black [3213]" strokecolor="black [3213]" strokeweight="2pt">
                  <v:fill opacity="49087f"/>
                  <v:shadow on="t" color="black" opacity="26214f" origin="-.5,-.5" offset=".74836mm,.74836mm"/>
                  <v:textbox>
                    <w:txbxContent>
                      <w:p w14:paraId="67AAF187" w14:textId="77777777" w:rsidR="00527252" w:rsidRPr="005063E5" w:rsidRDefault="00527252" w:rsidP="00527252">
                        <w:pPr>
                          <w:jc w:val="center"/>
                          <w:rPr>
                            <w:rFonts w:ascii="Calibri" w:hAnsi="Calibri" w:cs="Calibri"/>
                            <w:b/>
                            <w:bCs/>
                            <w:sz w:val="28"/>
                            <w:szCs w:val="28"/>
                          </w:rPr>
                        </w:pPr>
                        <w:r>
                          <w:rPr>
                            <w:rFonts w:ascii="Calibri" w:hAnsi="Calibri" w:cs="Calibri"/>
                            <w:b/>
                            <w:bCs/>
                            <w:sz w:val="28"/>
                            <w:szCs w:val="28"/>
                          </w:rPr>
                          <w:t>PROVEN</w:t>
                        </w:r>
                      </w:p>
                    </w:txbxContent>
                  </v:textbox>
                </v:roundrect>
                <v:shapetype id="_x0000_t32" coordsize="21600,21600" o:spt="32" o:oned="t" path="m,l21600,21600e" filled="f">
                  <v:path arrowok="t" fillok="f" o:connecttype="none"/>
                  <o:lock v:ext="edit" shapetype="t"/>
                </v:shapetype>
                <v:shape id="Straight Arrow Connector 78" o:spid="_x0000_s1040" type="#_x0000_t32" style="position:absolute;left:15610;top:3980;width:36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3MyAAAAOMAAAAPAAAAZHJzL2Rvd25yZXYueG1sRE9La8JA&#10;EL4X+h+WKfRWN4niI7qKFIRSKOKj9DpkxySYnY3Zjcb+elcQPM73ntmiM5U4U+NKywriXgSCOLO6&#10;5FzBfrf6GINwHlljZZkUXMnBYv76MsNU2wtv6Lz1uQgh7FJUUHhfp1K6rCCDrmdr4sAdbGPQh7PJ&#10;pW7wEsJNJZMoGkqDJYeGAmv6LCg7blujAPPj7se1/9/tuj5htS7j5O93pdT7W7ecgvDU+af44f7S&#10;Yf6on0wG8XjSh/tPAQA5vwEAAP//AwBQSwECLQAUAAYACAAAACEA2+H2y+4AAACFAQAAEwAAAAAA&#10;AAAAAAAAAAAAAAAAW0NvbnRlbnRfVHlwZXNdLnhtbFBLAQItABQABgAIAAAAIQBa9CxbvwAAABUB&#10;AAALAAAAAAAAAAAAAAAAAB8BAABfcmVscy8ucmVsc1BLAQItABQABgAIAAAAIQDdyJ3MyAAAAOMA&#10;AAAPAAAAAAAAAAAAAAAAAAcCAABkcnMvZG93bnJldi54bWxQSwUGAAAAAAMAAwC3AAAA/AIAAAAA&#10;" strokecolor="#292929" strokeweight="2.5pt">
                  <v:stroke dashstyle="1 1" startarrow="block" endarrow="block"/>
                </v:shape>
                <v:shape id="Straight Arrow Connector 79" o:spid="_x0000_s1041" type="#_x0000_t32" style="position:absolute;left:8369;top:10489;width:0;height:60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JJXzQAAAOEAAAAPAAAAZHJzL2Rvd25yZXYueG1sRI/dasJA&#10;FITvC32H5Qi9KboxbTREV7GFliIo+IP28jR7TEKzZ0N2q+nbd4WCl8PMfMNM552pxZlaV1lWMBxE&#10;IIhzqysuFOx3b/0UhPPIGmvLpOCXHMxn93dTzLS98IbOW1+IAGGXoYLS+yaT0uUlGXQD2xAH72Rb&#10;gz7ItpC6xUuAm1rGUTSSBisOCyU29FpS/r39MQry42p5+Epf3j8fT2PXbcbJ+rhIlHrodYsJCE+d&#10;v4X/2x9aQZyko3j4/ATXR+ENyNkfAAAA//8DAFBLAQItABQABgAIAAAAIQDb4fbL7gAAAIUBAAAT&#10;AAAAAAAAAAAAAAAAAAAAAABbQ29udGVudF9UeXBlc10ueG1sUEsBAi0AFAAGAAgAAAAhAFr0LFu/&#10;AAAAFQEAAAsAAAAAAAAAAAAAAAAAHwEAAF9yZWxzLy5yZWxzUEsBAi0AFAAGAAgAAAAhAGWsklfN&#10;AAAA4QAAAA8AAAAAAAAAAAAAAAAABwIAAGRycy9kb3ducmV2LnhtbFBLBQYAAAAAAwADALcAAAAB&#10;AwAAAAA=&#10;" strokecolor="#292929" strokeweight="3pt">
                  <v:stroke endarrow="block"/>
                </v:shape>
                <v:shape id="Straight Arrow Connector 79" o:spid="_x0000_s1042" type="#_x0000_t32" style="position:absolute;left:8369;top:25559;width:0;height:60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2pBzAAAAOEAAAAPAAAAZHJzL2Rvd25yZXYueG1sRI/dasJA&#10;FITvC32H5RS8KbppqW6auoottBRBwR+0l6fZYxKaPRuyW41v3xUKXg4z8w0znna2FkdqfeVYw8Mg&#10;AUGcO1NxoWG7ee+nIHxANlg7Jg1n8jCd3N6MMTPuxCs6rkMhIoR9hhrKEJpMSp+XZNEPXEMcvYNr&#10;LYYo20KaFk8Rbmv5mCQjabHiuFBiQ28l5T/rX6sh3y/mu+/09ePr/qB8t1LD5X421Lp3181eQATq&#10;wjX83/40GkbqOU2flILLo/gG5OQPAAD//wMAUEsBAi0AFAAGAAgAAAAhANvh9svuAAAAhQEAABMA&#10;AAAAAAAAAAAAAAAAAAAAAFtDb250ZW50X1R5cGVzXS54bWxQSwECLQAUAAYACAAAACEAWvQsW78A&#10;AAAVAQAACwAAAAAAAAAAAAAAAAAfAQAAX3JlbHMvLnJlbHNQSwECLQAUAAYACAAAACEAJrNqQcwA&#10;AADhAAAADwAAAAAAAAAAAAAAAAAHAgAAZHJzL2Rvd25yZXYueG1sUEsFBgAAAAADAAMAtwAAAAAD&#10;AAAAAA==&#10;" strokecolor="#292929" strokeweight="3pt">
                  <v:stroke endarrow="block"/>
                </v:shape>
                <v:shape id="Straight Arrow Connector 80" o:spid="_x0000_s1043" type="#_x0000_t32" style="position:absolute;left:19560;top:33314;width:43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PQ6yQAAAOIAAAAPAAAAZHJzL2Rvd25yZXYueG1sRE9LS8NA&#10;EL4L/Q/LFLyI3RipiWm3pQqKCAp9YD2O2WkSmp0N2bWN/945CB4/vvd8ObhWnagPjWcDN5MEFHHp&#10;bcOVgd326ToHFSKyxdYzGfihAMvF6GKOhfVnXtNpEyslIRwKNFDH2BVah7Imh2HiO2LhDr53GAX2&#10;lbY9niXctTpNkjvtsGFpqLGjx5rK4+bbGSj3b68fX/nD8+fVIQvDOpu+71dTYy7Hw2oGKtIQ/8V/&#10;7hcr87PbNL1PczkhlwSDXvwCAAD//wMAUEsBAi0AFAAGAAgAAAAhANvh9svuAAAAhQEAABMAAAAA&#10;AAAAAAAAAAAAAAAAAFtDb250ZW50X1R5cGVzXS54bWxQSwECLQAUAAYACAAAACEAWvQsW78AAAAV&#10;AQAACwAAAAAAAAAAAAAAAAAfAQAAX3JlbHMvLnJlbHNQSwECLQAUAAYACAAAACEAwLj0OskAAADi&#10;AAAADwAAAAAAAAAAAAAAAAAHAgAAZHJzL2Rvd25yZXYueG1sUEsFBgAAAAADAAMAtwAAAP0CAAAA&#10;AA==&#10;" strokecolor="#292929" strokeweight="3pt">
                  <v:stroke endarrow="block"/>
                </v:shape>
                <v:shape id="Straight Arrow Connector 80" o:spid="_x0000_s1044" type="#_x0000_t32" style="position:absolute;left:49479;top:33387;width:43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Qi0zwAAAOMAAAAPAAAAZHJzL2Rvd25yZXYueG1sRI9PS8NA&#10;EMXvQr/DMgUvYjf+SRPTbksVlCIotIr1OM1Ok2B2NmTXNn575yB4nHlv3vvNfDm4Vh2pD41nA1eT&#10;BBRx6W3DlYH3t8fLHFSIyBZbz2TghwIsF6OzORbWn3hDx22slIRwKNBAHWNXaB3KmhyGie+IRTv4&#10;3mGUsa+07fEk4a7V10ky1Q4bloYaO3qoqfzafjsD5e7l+WOf3z99XhyyMGyy9HW3So05Hw+rGahI&#10;Q/w3/12vreAn6TS/u7nNBFp+kgXoxS8AAAD//wMAUEsBAi0AFAAGAAgAAAAhANvh9svuAAAAhQEA&#10;ABMAAAAAAAAAAAAAAAAAAAAAAFtDb250ZW50X1R5cGVzXS54bWxQSwECLQAUAAYACAAAACEAWvQs&#10;W78AAAAVAQAACwAAAAAAAAAAAAAAAAAfAQAAX3JlbHMvLnJlbHNQSwECLQAUAAYACAAAACEABzEI&#10;tM8AAADjAAAADwAAAAAAAAAAAAAAAAAHAgAAZHJzL2Rvd25yZXYueG1sUEsFBgAAAAADAAMAtwAA&#10;AAMDAAAAAA==&#10;" strokecolor="#292929" strokeweight="3pt">
                  <v:stroke endarrow="block"/>
                </v:shape>
                <v:shape id="Straight Arrow Connector 82" o:spid="_x0000_s1045" type="#_x0000_t32" style="position:absolute;left:32581;top:23000;width:9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kzAAAAOMAAAAPAAAAZHJzL2Rvd25yZXYueG1sRI/NTsMw&#10;EITvSLyDtZW4UTsVDWmoW1EKCAku/blw28bbJCJeR7HbpG9fIyFxHM3MN5r5crCNOFPna8cakrEC&#10;QVw4U3OpYb97u89A+IBssHFMGi7kYbm4vZljblzPGzpvQykihH2OGqoQ2lxKX1Rk0Y9dSxy9o+ss&#10;hii7UpoO+wi3jZwolUqLNceFClt6qaj42Z6shq91MVtP8Xt1ejwcVia8v9afvdL6bjQ8P4EINIT/&#10;8F/7w2iYqIc0SbIsncLvp/gH5OIKAAD//wMAUEsBAi0AFAAGAAgAAAAhANvh9svuAAAAhQEAABMA&#10;AAAAAAAAAAAAAAAAAAAAAFtDb250ZW50X1R5cGVzXS54bWxQSwECLQAUAAYACAAAACEAWvQsW78A&#10;AAAVAQAACwAAAAAAAAAAAAAAAAAfAQAAX3JlbHMvLnJlbHNQSwECLQAUAAYACAAAACEAf68lJMwA&#10;AADjAAAADwAAAAAAAAAAAAAAAAAHAgAAZHJzL2Rvd25yZXYueG1sUEsFBgAAAAADAAMAtwAAAAAD&#10;AAAAAA==&#10;" strokecolor="#292929" strokeweight="3pt">
                  <v:stroke startarrow="block" endarrow="block"/>
                </v:shape>
                <v:shape id="Straight Arrow Connector 82" o:spid="_x0000_s1046" type="#_x0000_t32" style="position:absolute;left:32581;top:28486;width:9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t7czAAAAOMAAAAPAAAAZHJzL2Rvd25yZXYueG1sRI9LT8NA&#10;DITvSPyHlStxo5tU9JV2W1EKCAkufVx6c7NuEpH1RtltE/49PiBxtD2emW+57l2tbtSGyrOBdJiA&#10;Is69rbgwcDy8Pc5AhYhssfZMBn4owHp1f7fEzPqOd3Tbx0KJCYcMDZQxNpnWIS/JYRj6hlhuF986&#10;jDK2hbYtdmLuaj1Kkol2WLEklNjQS0n59/7qDHxt8/l2jKfNdXo+b2x8f60+u8SYh0H/vAAVqY//&#10;4r/vDyv1nybTdDyapUIhTLIAvfoFAAD//wMAUEsBAi0AFAAGAAgAAAAhANvh9svuAAAAhQEAABMA&#10;AAAAAAAAAAAAAAAAAAAAAFtDb250ZW50X1R5cGVzXS54bWxQSwECLQAUAAYACAAAACEAWvQsW78A&#10;AAAVAQAACwAAAAAAAAAAAAAAAAAfAQAAX3JlbHMvLnJlbHNQSwECLQAUAAYACAAAACEADDbe3MwA&#10;AADjAAAADwAAAAAAAAAAAAAAAAAHAgAAZHJzL2Rvd25yZXYueG1sUEsFBgAAAAADAAMAtwAAAAAD&#10;AAAAAA==&#10;" strokecolor="#292929" strokeweight="3pt">
                  <v:stroke startarrow="block" endarrow="block"/>
                </v:shape>
                <v:shape id="Straight Arrow Connector 83" o:spid="_x0000_s1047" type="#_x0000_t32" style="position:absolute;left:33430;top:24082;width:7695;height:32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G7hxwAAAOIAAAAPAAAAZHJzL2Rvd25yZXYueG1sRE9ba8Iw&#10;FH4f7D+EM9jbTFuKk2qUXejYgw9Oxeez5th2JiclybT794sw2OPHd1+sRmvEmXzoHSvIJxkI4sbp&#10;nlsF+139MAMRIrJG45gU/FCA1fL2ZoGVdhf+oPM2tiKFcKhQQRfjUEkZmo4shokbiBN3dN5iTNC3&#10;Unu8pHBrZJFlU2mx59TQ4UAvHTWn7bdV8GrW+VfBzbr8fD69HWuTb/yhVur+bnyag4g0xn/xn/td&#10;p/llUU5nxWMJ10sJg1z+AgAA//8DAFBLAQItABQABgAIAAAAIQDb4fbL7gAAAIUBAAATAAAAAAAA&#10;AAAAAAAAAAAAAABbQ29udGVudF9UeXBlc10ueG1sUEsBAi0AFAAGAAgAAAAhAFr0LFu/AAAAFQEA&#10;AAsAAAAAAAAAAAAAAAAAHwEAAF9yZWxzLy5yZWxzUEsBAi0AFAAGAAgAAAAhALJ4buHHAAAA4gAA&#10;AA8AAAAAAAAAAAAAAAAABwIAAGRycy9kb3ducmV2LnhtbFBLBQYAAAAAAwADALcAAAD7AgAAAAA=&#10;" strokecolor="#292929" strokeweight="3pt">
                  <v:stroke dashstyle="1 1" startarrow="block" endarrow="block"/>
                </v:shape>
              </v:group>
            </w:pict>
          </mc:Fallback>
        </mc:AlternateContent>
      </w:r>
    </w:p>
    <w:p w14:paraId="6F0710A0" w14:textId="77777777" w:rsidR="005D0C51" w:rsidRDefault="005D0C51">
      <w:pPr>
        <w:keepNext/>
        <w:keepLines/>
        <w:spacing w:line="280" w:lineRule="exact"/>
      </w:pPr>
    </w:p>
    <w:p w14:paraId="1C1901D5" w14:textId="77777777" w:rsidR="005D0C51" w:rsidRDefault="005D0C51">
      <w:pPr>
        <w:keepNext/>
        <w:keepLines/>
        <w:spacing w:line="280" w:lineRule="exact"/>
      </w:pPr>
    </w:p>
    <w:p w14:paraId="5EB76195" w14:textId="77777777" w:rsidR="005D0C51" w:rsidRDefault="005D0C51">
      <w:pPr>
        <w:keepNext/>
        <w:keepLines/>
        <w:spacing w:line="280" w:lineRule="exact"/>
      </w:pPr>
    </w:p>
    <w:p w14:paraId="1B6A6B8F" w14:textId="77777777" w:rsidR="005D0C51" w:rsidRDefault="005D0C51">
      <w:pPr>
        <w:keepNext/>
        <w:keepLines/>
        <w:spacing w:line="280" w:lineRule="exact"/>
      </w:pPr>
    </w:p>
    <w:p w14:paraId="77A23175" w14:textId="77777777" w:rsidR="005D0C51" w:rsidRDefault="005D0C51">
      <w:pPr>
        <w:keepNext/>
        <w:keepLines/>
        <w:spacing w:line="280" w:lineRule="exact"/>
      </w:pPr>
    </w:p>
    <w:p w14:paraId="7E2F655C" w14:textId="224A4A9A" w:rsidR="005D0C51" w:rsidRDefault="005D0C51">
      <w:pPr>
        <w:keepNext/>
        <w:keepLines/>
        <w:spacing w:line="280" w:lineRule="exact"/>
      </w:pPr>
    </w:p>
    <w:p w14:paraId="4D0FE1E6" w14:textId="3613B325" w:rsidR="00D5292C" w:rsidRDefault="00D5292C">
      <w:pPr>
        <w:keepNext/>
        <w:keepLines/>
        <w:spacing w:line="280" w:lineRule="exact"/>
      </w:pPr>
    </w:p>
    <w:p w14:paraId="45293FD4" w14:textId="77777777" w:rsidR="005D0C51" w:rsidRDefault="005D0C51">
      <w:pPr>
        <w:keepNext/>
        <w:keepLines/>
        <w:spacing w:line="280" w:lineRule="exact"/>
      </w:pPr>
    </w:p>
    <w:p w14:paraId="24897A24" w14:textId="77777777" w:rsidR="005D0C51" w:rsidRDefault="005D0C51">
      <w:pPr>
        <w:keepNext/>
        <w:keepLines/>
        <w:spacing w:line="280" w:lineRule="exact"/>
      </w:pPr>
    </w:p>
    <w:p w14:paraId="7048FF01" w14:textId="77777777" w:rsidR="005D0C51" w:rsidRDefault="005D0C51">
      <w:pPr>
        <w:keepNext/>
        <w:keepLines/>
        <w:spacing w:line="280" w:lineRule="exact"/>
      </w:pPr>
    </w:p>
    <w:p w14:paraId="22004AED" w14:textId="77777777" w:rsidR="005D0C51" w:rsidRDefault="005D0C51">
      <w:pPr>
        <w:keepNext/>
        <w:keepLines/>
        <w:spacing w:line="280" w:lineRule="exact"/>
      </w:pPr>
    </w:p>
    <w:p w14:paraId="6BB7FAD2" w14:textId="77777777" w:rsidR="005D0C51" w:rsidRDefault="005D0C51">
      <w:pPr>
        <w:keepNext/>
        <w:keepLines/>
        <w:spacing w:line="280" w:lineRule="exact"/>
      </w:pPr>
    </w:p>
    <w:p w14:paraId="51078410" w14:textId="77777777" w:rsidR="005D0C51" w:rsidRDefault="005D0C51">
      <w:pPr>
        <w:keepNext/>
        <w:keepLines/>
        <w:spacing w:line="280" w:lineRule="exact"/>
      </w:pPr>
    </w:p>
    <w:p w14:paraId="164C29BF" w14:textId="77777777" w:rsidR="005D0C51" w:rsidRDefault="005D0C51">
      <w:pPr>
        <w:keepNext/>
        <w:keepLines/>
        <w:spacing w:line="280" w:lineRule="exact"/>
      </w:pPr>
    </w:p>
    <w:p w14:paraId="19F2B621" w14:textId="77777777" w:rsidR="005D0C51" w:rsidRDefault="005D0C51">
      <w:pPr>
        <w:keepNext/>
        <w:keepLines/>
        <w:spacing w:line="280" w:lineRule="exact"/>
      </w:pPr>
    </w:p>
    <w:p w14:paraId="56C150DB" w14:textId="77777777" w:rsidR="005D0C51" w:rsidRDefault="005D0C51">
      <w:pPr>
        <w:keepNext/>
        <w:keepLines/>
        <w:spacing w:line="280" w:lineRule="exact"/>
      </w:pPr>
    </w:p>
    <w:p w14:paraId="20222605" w14:textId="77777777" w:rsidR="005D0C51" w:rsidRDefault="005D0C51">
      <w:pPr>
        <w:keepNext/>
        <w:keepLines/>
        <w:spacing w:line="280" w:lineRule="exact"/>
      </w:pPr>
    </w:p>
    <w:p w14:paraId="130A7249" w14:textId="77777777" w:rsidR="005D0C51" w:rsidRDefault="005D0C51">
      <w:pPr>
        <w:keepNext/>
        <w:keepLines/>
        <w:spacing w:line="280" w:lineRule="exact"/>
      </w:pPr>
    </w:p>
    <w:p w14:paraId="5603EC24" w14:textId="77777777" w:rsidR="005D0C51" w:rsidRDefault="005D0C51">
      <w:pPr>
        <w:keepNext/>
        <w:keepLines/>
        <w:spacing w:line="280" w:lineRule="exact"/>
      </w:pPr>
    </w:p>
    <w:p w14:paraId="2D717D25" w14:textId="5404C744" w:rsidR="005D0C51" w:rsidRDefault="005D0C51">
      <w:pPr>
        <w:keepNext/>
        <w:keepLines/>
        <w:spacing w:line="280" w:lineRule="exact"/>
      </w:pPr>
    </w:p>
    <w:p w14:paraId="36E0FA11" w14:textId="77777777" w:rsidR="005D0C51" w:rsidRDefault="005D0C51">
      <w:pPr>
        <w:keepNext/>
        <w:keepLines/>
        <w:spacing w:line="280" w:lineRule="exact"/>
      </w:pPr>
    </w:p>
    <w:p w14:paraId="1D3A9C6E" w14:textId="5919FF77" w:rsidR="00100CD8" w:rsidRDefault="00862029">
      <w:pPr>
        <w:spacing w:before="120" w:after="220"/>
        <w:jc w:val="center"/>
      </w:pPr>
      <w:r>
        <w:rPr>
          <w:i/>
          <w:iCs/>
        </w:rPr>
        <w:t xml:space="preserve">Figure 1, relationship between </w:t>
      </w:r>
      <w:r w:rsidR="003B6C80">
        <w:rPr>
          <w:i/>
          <w:iCs/>
        </w:rPr>
        <w:t xml:space="preserve">Exploration Information, </w:t>
      </w:r>
      <w:r w:rsidR="00EE4079">
        <w:rPr>
          <w:i/>
          <w:iCs/>
        </w:rPr>
        <w:t>Exploration Target</w:t>
      </w:r>
      <w:r w:rsidR="00FD1EC0">
        <w:rPr>
          <w:i/>
          <w:iCs/>
        </w:rPr>
        <w:t>, Mineral</w:t>
      </w:r>
      <w:r w:rsidR="00EE4079">
        <w:rPr>
          <w:i/>
          <w:iCs/>
        </w:rPr>
        <w:t xml:space="preserve"> </w:t>
      </w:r>
      <w:r>
        <w:rPr>
          <w:i/>
          <w:iCs/>
        </w:rPr>
        <w:t>Reserves and Mineral Resources</w:t>
      </w:r>
    </w:p>
    <w:p w14:paraId="581F59C9" w14:textId="071D8F54" w:rsidR="00F61027" w:rsidRDefault="00862029">
      <w:pPr>
        <w:widowControl/>
        <w:spacing w:after="220"/>
        <w:jc w:val="both"/>
      </w:pPr>
      <w:r>
        <w:rPr>
          <w:i/>
          <w:iCs/>
        </w:rPr>
        <w:t xml:space="preserve">Figure 1 </w:t>
      </w:r>
      <w:r w:rsidR="005D0C51">
        <w:rPr>
          <w:i/>
          <w:iCs/>
        </w:rPr>
        <w:t xml:space="preserve">illustrates </w:t>
      </w:r>
      <w:r>
        <w:rPr>
          <w:i/>
          <w:iCs/>
        </w:rPr>
        <w:t xml:space="preserve">the framework for </w:t>
      </w:r>
      <w:r w:rsidR="007124A3">
        <w:rPr>
          <w:i/>
          <w:iCs/>
        </w:rPr>
        <w:t xml:space="preserve">disclosing </w:t>
      </w:r>
      <w:r w:rsidR="008D2850">
        <w:rPr>
          <w:i/>
          <w:iCs/>
        </w:rPr>
        <w:t xml:space="preserve">exploration information and </w:t>
      </w:r>
      <w:r>
        <w:rPr>
          <w:i/>
          <w:iCs/>
        </w:rPr>
        <w:t xml:space="preserve">classifying tonnage and grade/quality estimates </w:t>
      </w:r>
      <w:r w:rsidR="00035B70">
        <w:rPr>
          <w:i/>
          <w:iCs/>
        </w:rPr>
        <w:t xml:space="preserve">based on accumulated  </w:t>
      </w:r>
      <w:r>
        <w:rPr>
          <w:i/>
          <w:iCs/>
        </w:rPr>
        <w:t xml:space="preserve"> </w:t>
      </w:r>
      <w:r w:rsidR="009F63FA">
        <w:rPr>
          <w:i/>
          <w:iCs/>
        </w:rPr>
        <w:t xml:space="preserve">knowledge and </w:t>
      </w:r>
      <w:r>
        <w:rPr>
          <w:i/>
          <w:iCs/>
        </w:rPr>
        <w:t>confidence</w:t>
      </w:r>
      <w:r w:rsidR="00035B70">
        <w:rPr>
          <w:i/>
          <w:iCs/>
        </w:rPr>
        <w:t>, and degree of</w:t>
      </w:r>
      <w:r>
        <w:rPr>
          <w:i/>
          <w:iCs/>
        </w:rPr>
        <w:t xml:space="preserve"> technical and economic evaluation. </w:t>
      </w:r>
    </w:p>
    <w:p w14:paraId="14BD5E27" w14:textId="2F3FB551" w:rsidR="00E66EA9" w:rsidRDefault="00A07270">
      <w:pPr>
        <w:widowControl/>
        <w:spacing w:after="220"/>
        <w:jc w:val="both"/>
      </w:pPr>
      <w:r>
        <w:rPr>
          <w:i/>
          <w:iCs/>
        </w:rPr>
        <w:t>Information</w:t>
      </w:r>
      <w:r w:rsidR="007F7B0B">
        <w:rPr>
          <w:i/>
          <w:iCs/>
        </w:rPr>
        <w:t xml:space="preserve">, </w:t>
      </w:r>
      <w:r w:rsidR="00822157">
        <w:rPr>
          <w:i/>
          <w:iCs/>
        </w:rPr>
        <w:t xml:space="preserve">including but not limited </w:t>
      </w:r>
      <w:proofErr w:type="gramStart"/>
      <w:r w:rsidR="00FA7E9E">
        <w:rPr>
          <w:i/>
          <w:iCs/>
        </w:rPr>
        <w:t>to:</w:t>
      </w:r>
      <w:proofErr w:type="gramEnd"/>
      <w:r w:rsidR="00FA7E9E">
        <w:rPr>
          <w:i/>
          <w:iCs/>
        </w:rPr>
        <w:t xml:space="preserve"> geological</w:t>
      </w:r>
      <w:r>
        <w:rPr>
          <w:i/>
          <w:iCs/>
        </w:rPr>
        <w:t>, geophysical</w:t>
      </w:r>
      <w:r w:rsidR="00F9178B">
        <w:rPr>
          <w:i/>
          <w:iCs/>
        </w:rPr>
        <w:t>, g</w:t>
      </w:r>
      <w:r w:rsidR="007B048D">
        <w:rPr>
          <w:i/>
          <w:iCs/>
        </w:rPr>
        <w:t>eochemical, sampling, drilling, trenching, analytical</w:t>
      </w:r>
      <w:r w:rsidR="00A5652C">
        <w:rPr>
          <w:i/>
          <w:iCs/>
        </w:rPr>
        <w:t xml:space="preserve"> testing, assaying, mineralogical, metallurgical, and other similar information </w:t>
      </w:r>
      <w:r w:rsidR="00494DD9">
        <w:rPr>
          <w:i/>
          <w:iCs/>
        </w:rPr>
        <w:t>is derived from activities undertaken to, investigate, define, or delineate a mineral prospect or deposit.</w:t>
      </w:r>
      <w:r w:rsidR="0030455C">
        <w:rPr>
          <w:i/>
          <w:iCs/>
        </w:rPr>
        <w:t xml:space="preserve"> </w:t>
      </w:r>
    </w:p>
    <w:p w14:paraId="5A87A2FF" w14:textId="3886DBDA" w:rsidR="004459E1" w:rsidRDefault="006E22B4">
      <w:pPr>
        <w:widowControl/>
        <w:spacing w:after="220"/>
        <w:jc w:val="both"/>
      </w:pPr>
      <w:r>
        <w:rPr>
          <w:i/>
          <w:iCs/>
        </w:rPr>
        <w:t xml:space="preserve">The </w:t>
      </w:r>
      <w:r w:rsidR="00381A13">
        <w:rPr>
          <w:i/>
          <w:iCs/>
        </w:rPr>
        <w:t xml:space="preserve">fundamental </w:t>
      </w:r>
      <w:r w:rsidR="00A97173">
        <w:rPr>
          <w:i/>
          <w:iCs/>
        </w:rPr>
        <w:t xml:space="preserve">basis of </w:t>
      </w:r>
      <w:r>
        <w:rPr>
          <w:i/>
          <w:iCs/>
        </w:rPr>
        <w:t xml:space="preserve">any </w:t>
      </w:r>
      <w:r w:rsidR="00862029">
        <w:rPr>
          <w:i/>
          <w:iCs/>
        </w:rPr>
        <w:t>Mineral Resource</w:t>
      </w:r>
      <w:r>
        <w:rPr>
          <w:i/>
          <w:iCs/>
        </w:rPr>
        <w:t xml:space="preserve"> estimate is that the geological model</w:t>
      </w:r>
      <w:r w:rsidR="00E80D97">
        <w:rPr>
          <w:i/>
          <w:iCs/>
        </w:rPr>
        <w:t xml:space="preserve"> and controls on mineralization are understood.  </w:t>
      </w:r>
      <w:r w:rsidR="003279CB">
        <w:rPr>
          <w:i/>
          <w:iCs/>
        </w:rPr>
        <w:t>Inferred Mineral Resources</w:t>
      </w:r>
      <w:r w:rsidR="0015672C">
        <w:rPr>
          <w:i/>
          <w:iCs/>
        </w:rPr>
        <w:t xml:space="preserve"> will</w:t>
      </w:r>
      <w:r w:rsidR="00CC490B">
        <w:rPr>
          <w:i/>
          <w:iCs/>
        </w:rPr>
        <w:t xml:space="preserve"> be based on preliminary </w:t>
      </w:r>
      <w:r w:rsidR="000372F6">
        <w:rPr>
          <w:i/>
          <w:iCs/>
        </w:rPr>
        <w:t>geological data and understanding of the continuity of the geology and control</w:t>
      </w:r>
      <w:r w:rsidR="00950DE7">
        <w:rPr>
          <w:i/>
          <w:iCs/>
        </w:rPr>
        <w:t>s</w:t>
      </w:r>
      <w:r w:rsidR="000372F6">
        <w:rPr>
          <w:i/>
          <w:iCs/>
        </w:rPr>
        <w:t xml:space="preserve"> on mineralization</w:t>
      </w:r>
      <w:r w:rsidR="005D4477">
        <w:rPr>
          <w:i/>
          <w:iCs/>
        </w:rPr>
        <w:t xml:space="preserve">. </w:t>
      </w:r>
      <w:r w:rsidR="00D71315">
        <w:rPr>
          <w:i/>
          <w:iCs/>
        </w:rPr>
        <w:t>To</w:t>
      </w:r>
      <w:r w:rsidR="00C93EED">
        <w:rPr>
          <w:i/>
          <w:iCs/>
        </w:rPr>
        <w:t xml:space="preserve"> </w:t>
      </w:r>
      <w:r w:rsidR="005D4477">
        <w:rPr>
          <w:i/>
          <w:iCs/>
        </w:rPr>
        <w:t xml:space="preserve">support </w:t>
      </w:r>
      <w:r w:rsidR="00C5687A">
        <w:rPr>
          <w:i/>
          <w:iCs/>
        </w:rPr>
        <w:t xml:space="preserve">Mineral Resource </w:t>
      </w:r>
      <w:r w:rsidR="005D4477">
        <w:rPr>
          <w:i/>
          <w:iCs/>
        </w:rPr>
        <w:lastRenderedPageBreak/>
        <w:t>high</w:t>
      </w:r>
      <w:r w:rsidR="00DD256F">
        <w:rPr>
          <w:i/>
          <w:iCs/>
        </w:rPr>
        <w:t>er</w:t>
      </w:r>
      <w:r w:rsidR="005D4477">
        <w:rPr>
          <w:i/>
          <w:iCs/>
        </w:rPr>
        <w:t xml:space="preserve"> confidence levels</w:t>
      </w:r>
      <w:r w:rsidR="00F82114">
        <w:rPr>
          <w:i/>
          <w:iCs/>
        </w:rPr>
        <w:t xml:space="preserve">, more detailed </w:t>
      </w:r>
      <w:r w:rsidR="000E21C4">
        <w:rPr>
          <w:i/>
          <w:iCs/>
        </w:rPr>
        <w:t xml:space="preserve">information and the </w:t>
      </w:r>
      <w:r w:rsidR="00CD3DB1">
        <w:rPr>
          <w:i/>
          <w:iCs/>
        </w:rPr>
        <w:t xml:space="preserve">confirmation of the assumptions on geological and grade continuity </w:t>
      </w:r>
      <w:r w:rsidR="00DD256F">
        <w:rPr>
          <w:i/>
          <w:iCs/>
        </w:rPr>
        <w:t>are</w:t>
      </w:r>
      <w:r w:rsidR="00CD3DB1">
        <w:rPr>
          <w:i/>
          <w:iCs/>
        </w:rPr>
        <w:t xml:space="preserve"> expected</w:t>
      </w:r>
      <w:r w:rsidR="00DB35E5">
        <w:rPr>
          <w:i/>
          <w:iCs/>
        </w:rPr>
        <w:t>. The Practitioner should also consider other factors</w:t>
      </w:r>
      <w:r w:rsidR="00555CF8">
        <w:rPr>
          <w:i/>
          <w:iCs/>
        </w:rPr>
        <w:t xml:space="preserve"> such as metallurgical recovery, </w:t>
      </w:r>
      <w:proofErr w:type="spellStart"/>
      <w:r w:rsidR="00555CF8">
        <w:rPr>
          <w:i/>
          <w:iCs/>
        </w:rPr>
        <w:t>mineability</w:t>
      </w:r>
      <w:proofErr w:type="spellEnd"/>
      <w:r w:rsidR="00555CF8">
        <w:rPr>
          <w:i/>
          <w:iCs/>
        </w:rPr>
        <w:t xml:space="preserve"> etc to support </w:t>
      </w:r>
      <w:r w:rsidR="00DE256E">
        <w:rPr>
          <w:i/>
          <w:iCs/>
        </w:rPr>
        <w:t>“</w:t>
      </w:r>
      <w:r w:rsidR="00555CF8">
        <w:rPr>
          <w:i/>
          <w:iCs/>
        </w:rPr>
        <w:t>reasonable prospects for economic e</w:t>
      </w:r>
      <w:r w:rsidR="00C8610C">
        <w:rPr>
          <w:i/>
          <w:iCs/>
        </w:rPr>
        <w:t>xtraction</w:t>
      </w:r>
      <w:r w:rsidR="00DE256E">
        <w:rPr>
          <w:i/>
          <w:iCs/>
        </w:rPr>
        <w:t>”</w:t>
      </w:r>
      <w:r w:rsidR="00F017A7">
        <w:rPr>
          <w:i/>
          <w:iCs/>
        </w:rPr>
        <w:t>.</w:t>
      </w:r>
      <w:r w:rsidR="00D02EFA">
        <w:rPr>
          <w:i/>
          <w:iCs/>
        </w:rPr>
        <w:t xml:space="preserve">   </w:t>
      </w:r>
      <w:r w:rsidR="00E80D97">
        <w:rPr>
          <w:i/>
          <w:iCs/>
        </w:rPr>
        <w:t xml:space="preserve"> </w:t>
      </w:r>
      <w:r w:rsidR="00862029">
        <w:rPr>
          <w:i/>
          <w:iCs/>
        </w:rPr>
        <w:t xml:space="preserve"> </w:t>
      </w:r>
    </w:p>
    <w:p w14:paraId="1D3A9C72" w14:textId="5E164519" w:rsidR="00100CD8" w:rsidRDefault="00862029" w:rsidP="007861CA">
      <w:pPr>
        <w:widowControl/>
        <w:spacing w:after="220"/>
        <w:jc w:val="both"/>
      </w:pPr>
      <w:r>
        <w:rPr>
          <w:i/>
          <w:iCs/>
        </w:rPr>
        <w:t>Mineral Reserves, which are a modified sub-set of the Indicated and Measured Mineral Resources (shown within the dashed outline in figure 1), require consideration of</w:t>
      </w:r>
      <w:r w:rsidR="00D758C5">
        <w:rPr>
          <w:i/>
          <w:iCs/>
        </w:rPr>
        <w:t xml:space="preserve"> </w:t>
      </w:r>
      <w:r w:rsidR="000C1AF6">
        <w:rPr>
          <w:i/>
          <w:iCs/>
        </w:rPr>
        <w:t>M</w:t>
      </w:r>
      <w:r w:rsidR="18550EE6">
        <w:rPr>
          <w:i/>
          <w:iCs/>
        </w:rPr>
        <w:t xml:space="preserve">odifying </w:t>
      </w:r>
      <w:r w:rsidR="000C1AF6">
        <w:rPr>
          <w:i/>
          <w:iCs/>
        </w:rPr>
        <w:t>F</w:t>
      </w:r>
      <w:r w:rsidR="18550EE6">
        <w:rPr>
          <w:i/>
          <w:iCs/>
        </w:rPr>
        <w:t>actors affecting profitable extraction, including mining, processing, metallurgical, economic, marketing, legal, environmental, infrastructure, social and governmental factors</w:t>
      </w:r>
      <w:r w:rsidR="003461B6">
        <w:rPr>
          <w:i/>
          <w:iCs/>
        </w:rPr>
        <w:t>.</w:t>
      </w:r>
    </w:p>
    <w:p w14:paraId="1D3A9C73" w14:textId="0ECF1CEC" w:rsidR="00100CD8" w:rsidRDefault="00862029">
      <w:pPr>
        <w:widowControl/>
        <w:spacing w:after="220"/>
        <w:jc w:val="both"/>
      </w:pPr>
      <w:r>
        <w:rPr>
          <w:i/>
          <w:iCs/>
        </w:rPr>
        <w:t xml:space="preserve">In certain situations, Measured Mineral Resources could convert to Probable Mineral Reserves because of uncertainties associated with the Modifying Factors that are </w:t>
      </w:r>
      <w:proofErr w:type="gramStart"/>
      <w:r>
        <w:rPr>
          <w:i/>
          <w:iCs/>
        </w:rPr>
        <w:t>taken into account</w:t>
      </w:r>
      <w:proofErr w:type="gramEnd"/>
      <w:r>
        <w:rPr>
          <w:i/>
          <w:iCs/>
        </w:rPr>
        <w:t xml:space="preserve"> in the conversion from Mineral Resources to Mineral Reserves. This relationship is shown by the dashed arrow in figure 1 (although the trend of the dashed arrow includes a vertical component, it does not, in this instance, imply a reduction in the level of geological knowledge or confidence). In such a situation these Modifying Factors should be fully explained. Under no circumstances can </w:t>
      </w:r>
      <w:r w:rsidR="00E07CAE">
        <w:rPr>
          <w:i/>
          <w:iCs/>
        </w:rPr>
        <w:t>I</w:t>
      </w:r>
      <w:r>
        <w:rPr>
          <w:i/>
          <w:iCs/>
        </w:rPr>
        <w:t xml:space="preserve">ndicated </w:t>
      </w:r>
      <w:r w:rsidR="00E07CAE">
        <w:rPr>
          <w:i/>
          <w:iCs/>
        </w:rPr>
        <w:t>Mineral R</w:t>
      </w:r>
      <w:r>
        <w:rPr>
          <w:i/>
          <w:iCs/>
        </w:rPr>
        <w:t xml:space="preserve">esources convert directly to </w:t>
      </w:r>
      <w:r w:rsidR="00E07CAE">
        <w:rPr>
          <w:i/>
          <w:iCs/>
        </w:rPr>
        <w:t>P</w:t>
      </w:r>
      <w:r>
        <w:rPr>
          <w:i/>
          <w:iCs/>
        </w:rPr>
        <w:t xml:space="preserve">roven </w:t>
      </w:r>
      <w:r w:rsidR="00E07CAE">
        <w:rPr>
          <w:i/>
          <w:iCs/>
        </w:rPr>
        <w:t>Mineral R</w:t>
      </w:r>
      <w:r>
        <w:rPr>
          <w:i/>
          <w:iCs/>
        </w:rPr>
        <w:t>eserves.</w:t>
      </w:r>
    </w:p>
    <w:p w14:paraId="1D3A9C74" w14:textId="1404E3AF" w:rsidR="00100CD8" w:rsidRDefault="00862029">
      <w:pPr>
        <w:widowControl/>
        <w:spacing w:after="220"/>
        <w:jc w:val="both"/>
      </w:pPr>
      <w:r>
        <w:rPr>
          <w:i/>
          <w:iCs/>
        </w:rPr>
        <w:t xml:space="preserve">In certain </w:t>
      </w:r>
      <w:r w:rsidR="00FA7E9E">
        <w:rPr>
          <w:i/>
          <w:iCs/>
        </w:rPr>
        <w:t>situations,</w:t>
      </w:r>
      <w:r>
        <w:rPr>
          <w:i/>
          <w:iCs/>
        </w:rPr>
        <w:t xml:space="preserve"> previously reported Mineral Reserves could revert to Mineral Resources. It is not intended that re-classification from Mineral Reserves to Mineral Resources should be applied </w:t>
      </w:r>
      <w:proofErr w:type="gramStart"/>
      <w:r>
        <w:rPr>
          <w:i/>
          <w:iCs/>
        </w:rPr>
        <w:t>as a result of</w:t>
      </w:r>
      <w:proofErr w:type="gramEnd"/>
      <w:r>
        <w:rPr>
          <w:i/>
          <w:iCs/>
        </w:rPr>
        <w:t xml:space="preserve"> changes expected to be of a short term or temporary nature, or where company management has made a deliberate decision to operate in the short term on a non-economic basis. Examples of such situations might be a commodity price drop expected to be of short duration, mine emergency of a non-permanent nature, transport strike etc.</w:t>
      </w:r>
    </w:p>
    <w:p w14:paraId="1D3A9C76" w14:textId="09316BE1" w:rsidR="00100CD8" w:rsidRDefault="18550EE6">
      <w:pPr>
        <w:pStyle w:val="Heading1"/>
      </w:pPr>
      <w:bookmarkStart w:id="33" w:name="Guidance_for_Reporting_Mineral_Resource_"/>
      <w:bookmarkStart w:id="34" w:name="_Toc244107637"/>
      <w:bookmarkEnd w:id="33"/>
      <w:r>
        <w:t xml:space="preserve">Guidance for Reporting </w:t>
      </w:r>
      <w:r w:rsidR="1A8050D9" w:rsidRPr="2A454D1A">
        <w:t xml:space="preserve">Exploration Information, Exploration Targets, </w:t>
      </w:r>
      <w:r w:rsidRPr="2A454D1A">
        <w:t>Mineral Resource and Mineral Reserve Information</w:t>
      </w:r>
      <w:bookmarkEnd w:id="34"/>
    </w:p>
    <w:p w14:paraId="7A994EBC" w14:textId="77777777" w:rsidR="00703730" w:rsidRPr="00F90053" w:rsidRDefault="00703730" w:rsidP="00703730">
      <w:pPr>
        <w:pStyle w:val="Heading2"/>
      </w:pPr>
      <w:bookmarkStart w:id="35" w:name="_Toc244107638"/>
      <w:r w:rsidRPr="00F90053">
        <w:t xml:space="preserve">CIM </w:t>
      </w:r>
      <w:r w:rsidRPr="2A454D1A">
        <w:t>Guidance Documents</w:t>
      </w:r>
      <w:bookmarkEnd w:id="35"/>
    </w:p>
    <w:p w14:paraId="3DA1C66F" w14:textId="622DA269" w:rsidR="005F6BE4" w:rsidRDefault="00703730" w:rsidP="00703730">
      <w:pPr>
        <w:widowControl/>
        <w:spacing w:after="220"/>
        <w:jc w:val="both"/>
      </w:pPr>
      <w:r w:rsidRPr="00F90053">
        <w:t xml:space="preserve">The CIM has established </w:t>
      </w:r>
      <w:proofErr w:type="gramStart"/>
      <w:r w:rsidRPr="00F90053">
        <w:t>a number of</w:t>
      </w:r>
      <w:proofErr w:type="gramEnd"/>
      <w:r w:rsidRPr="00F90053">
        <w:t xml:space="preserve"> guidance documents which should be consulted in addition to these Definition Standards.  The</w:t>
      </w:r>
      <w:r>
        <w:t>se</w:t>
      </w:r>
      <w:r w:rsidRPr="00F90053">
        <w:t> guidance documents are updated from time to time, and new guidance developed as needed.  Guidance documents are posted under "Standards, Leading Practices &amp; Guidance for Mineral Resources and Mineral Reserves" on the CIM website</w:t>
      </w:r>
      <w:r w:rsidR="005F6BE4">
        <w:t xml:space="preserve">, </w:t>
      </w:r>
      <w:hyperlink r:id="rId13">
        <w:r w:rsidR="005F6BE4" w:rsidRPr="2A454D1A">
          <w:rPr>
            <w:color w:val="0000FF"/>
            <w:u w:val="single"/>
          </w:rPr>
          <w:t>mrmr.cim.org</w:t>
        </w:r>
        <w:r w:rsidR="005F6BE4">
          <w:t>.</w:t>
        </w:r>
      </w:hyperlink>
    </w:p>
    <w:p w14:paraId="36C91C49" w14:textId="73A24C4B" w:rsidR="00100CD8" w:rsidRDefault="18550EE6" w:rsidP="2A454D1A">
      <w:pPr>
        <w:widowControl/>
        <w:spacing w:after="220"/>
        <w:jc w:val="both"/>
      </w:pPr>
      <w:r>
        <w:rPr>
          <w:i/>
          <w:iCs/>
        </w:rPr>
        <w:t xml:space="preserve">The </w:t>
      </w:r>
      <w:r w:rsidR="0BEB44A9">
        <w:rPr>
          <w:i/>
          <w:iCs/>
        </w:rPr>
        <w:t xml:space="preserve">current </w:t>
      </w:r>
      <w:r w:rsidR="31BB4AE6">
        <w:rPr>
          <w:i/>
          <w:iCs/>
        </w:rPr>
        <w:t xml:space="preserve">CIM </w:t>
      </w:r>
      <w:r>
        <w:rPr>
          <w:i/>
          <w:iCs/>
        </w:rPr>
        <w:t>Mineral Exploration Best Practices Guidelines</w:t>
      </w:r>
      <w:r w:rsidR="009A12D0">
        <w:rPr>
          <w:i/>
          <w:iCs/>
        </w:rPr>
        <w:t xml:space="preserve"> </w:t>
      </w:r>
      <w:proofErr w:type="gramStart"/>
      <w:r w:rsidR="009A12D0">
        <w:rPr>
          <w:i/>
          <w:iCs/>
        </w:rPr>
        <w:t xml:space="preserve">and </w:t>
      </w:r>
      <w:r>
        <w:rPr>
          <w:i/>
          <w:iCs/>
        </w:rPr>
        <w:t xml:space="preserve"> the</w:t>
      </w:r>
      <w:proofErr w:type="gramEnd"/>
      <w:r>
        <w:rPr>
          <w:i/>
          <w:iCs/>
        </w:rPr>
        <w:t xml:space="preserve"> Estimation of Mineral Resource and Mineral Reserve Best Practice Guidelines provide, in a summary form, a list of the main criteria which should be considered when reporting </w:t>
      </w:r>
      <w:r w:rsidR="3BD01278">
        <w:rPr>
          <w:i/>
          <w:iCs/>
        </w:rPr>
        <w:t>Exploration</w:t>
      </w:r>
      <w:r w:rsidR="0D2126C4">
        <w:rPr>
          <w:i/>
          <w:iCs/>
        </w:rPr>
        <w:t xml:space="preserve"> </w:t>
      </w:r>
      <w:r w:rsidR="77CD3E5C">
        <w:rPr>
          <w:i/>
          <w:iCs/>
        </w:rPr>
        <w:t>Information, Exploration Targets,</w:t>
      </w:r>
      <w:r w:rsidR="0D2126C4">
        <w:rPr>
          <w:i/>
          <w:iCs/>
        </w:rPr>
        <w:t xml:space="preserve"> </w:t>
      </w:r>
      <w:r w:rsidR="009A12D0">
        <w:rPr>
          <w:i/>
          <w:iCs/>
        </w:rPr>
        <w:t xml:space="preserve">and </w:t>
      </w:r>
      <w:r>
        <w:rPr>
          <w:i/>
          <w:iCs/>
        </w:rPr>
        <w:t xml:space="preserve">Mineral Resources and Mineral Reserve estimates. </w:t>
      </w:r>
      <w:r w:rsidR="00C139CD">
        <w:rPr>
          <w:i/>
          <w:iCs/>
        </w:rPr>
        <w:t xml:space="preserve">The CIM Environmental, Social and Governance </w:t>
      </w:r>
      <w:r w:rsidR="007601F1">
        <w:rPr>
          <w:i/>
          <w:iCs/>
        </w:rPr>
        <w:t>Guidelines for Mineral Resource and Mineral Reserve Estimation (September 2023)</w:t>
      </w:r>
      <w:r w:rsidR="00FA7E9E">
        <w:rPr>
          <w:i/>
          <w:iCs/>
        </w:rPr>
        <w:t xml:space="preserve"> </w:t>
      </w:r>
      <w:r w:rsidR="007601F1">
        <w:rPr>
          <w:i/>
          <w:iCs/>
        </w:rPr>
        <w:t>and CIM Leading Practice Guidelines for Mineral Processing (November 2022) should also be considered when determining reasonable prospects for economic extraction.</w:t>
      </w:r>
      <w:r w:rsidR="000F0450">
        <w:rPr>
          <w:i/>
          <w:iCs/>
        </w:rPr>
        <w:t xml:space="preserve"> </w:t>
      </w:r>
    </w:p>
    <w:p w14:paraId="1D3A9C7D" w14:textId="4699C573" w:rsidR="00100CD8" w:rsidRDefault="18550EE6" w:rsidP="2A454D1A">
      <w:pPr>
        <w:widowControl/>
        <w:spacing w:after="220"/>
        <w:jc w:val="both"/>
      </w:pPr>
      <w:r>
        <w:rPr>
          <w:i/>
          <w:iCs/>
        </w:rPr>
        <w:t xml:space="preserve">These </w:t>
      </w:r>
      <w:r w:rsidR="70E51747">
        <w:rPr>
          <w:i/>
          <w:iCs/>
        </w:rPr>
        <w:t xml:space="preserve">guidelines </w:t>
      </w:r>
      <w:r>
        <w:rPr>
          <w:i/>
          <w:iCs/>
        </w:rPr>
        <w:t xml:space="preserve">are not </w:t>
      </w:r>
      <w:r w:rsidR="00FA7E9E">
        <w:rPr>
          <w:i/>
          <w:iCs/>
        </w:rPr>
        <w:t>prescriptive,</w:t>
      </w:r>
      <w:r>
        <w:rPr>
          <w:i/>
          <w:iCs/>
        </w:rPr>
        <w:t xml:space="preserve"> and it may not be necessary to comment on each item in </w:t>
      </w:r>
      <w:r w:rsidR="37377495">
        <w:rPr>
          <w:i/>
          <w:iCs/>
        </w:rPr>
        <w:t xml:space="preserve">each of </w:t>
      </w:r>
      <w:r>
        <w:rPr>
          <w:i/>
          <w:iCs/>
        </w:rPr>
        <w:t>the guidelines</w:t>
      </w:r>
      <w:r w:rsidR="37377495">
        <w:rPr>
          <w:i/>
          <w:iCs/>
        </w:rPr>
        <w:t>;</w:t>
      </w:r>
      <w:r>
        <w:rPr>
          <w:i/>
          <w:iCs/>
        </w:rPr>
        <w:t xml:space="preserve"> however, the need for comment on each item should be considered. It is essential to discuss any matters that might materially affect the reader’s understanding of the estimates being reported. Problems encountered in the collection of data or with the sufficiency of </w:t>
      </w:r>
      <w:r w:rsidR="418B7D74">
        <w:rPr>
          <w:i/>
          <w:iCs/>
        </w:rPr>
        <w:t>data should</w:t>
      </w:r>
      <w:r>
        <w:rPr>
          <w:i/>
          <w:iCs/>
        </w:rPr>
        <w:t xml:space="preserve"> be </w:t>
      </w:r>
      <w:r w:rsidR="00FA7E9E">
        <w:rPr>
          <w:i/>
          <w:iCs/>
        </w:rPr>
        <w:t>documented at</w:t>
      </w:r>
      <w:r>
        <w:rPr>
          <w:i/>
          <w:iCs/>
        </w:rPr>
        <w:t xml:space="preserve"> all times, particularly when they </w:t>
      </w:r>
      <w:r w:rsidR="37377495">
        <w:rPr>
          <w:i/>
          <w:iCs/>
        </w:rPr>
        <w:t xml:space="preserve">directly </w:t>
      </w:r>
      <w:r>
        <w:rPr>
          <w:i/>
          <w:iCs/>
        </w:rPr>
        <w:t xml:space="preserve">affect the reliability of, or confidence in, an estimate of Mineral Resources and Mineral Reserves; </w:t>
      </w:r>
      <w:r w:rsidR="54649AC4">
        <w:rPr>
          <w:i/>
          <w:iCs/>
        </w:rPr>
        <w:t xml:space="preserve">such as </w:t>
      </w:r>
      <w:r>
        <w:rPr>
          <w:i/>
          <w:iCs/>
        </w:rPr>
        <w:t xml:space="preserve">poor sample recovery, poor reproducibility of assay or laboratory results, limited information </w:t>
      </w:r>
      <w:r w:rsidR="54649AC4">
        <w:rPr>
          <w:i/>
          <w:iCs/>
        </w:rPr>
        <w:t>on</w:t>
      </w:r>
      <w:r w:rsidR="128DAD74">
        <w:rPr>
          <w:i/>
          <w:iCs/>
        </w:rPr>
        <w:t xml:space="preserve"> </w:t>
      </w:r>
      <w:r w:rsidR="2F822727">
        <w:rPr>
          <w:i/>
          <w:iCs/>
        </w:rPr>
        <w:t>density</w:t>
      </w:r>
      <w:r w:rsidR="6F9D003F">
        <w:rPr>
          <w:i/>
          <w:iCs/>
        </w:rPr>
        <w:t>/specific gravity</w:t>
      </w:r>
      <w:r>
        <w:rPr>
          <w:i/>
          <w:iCs/>
        </w:rPr>
        <w:t>.</w:t>
      </w:r>
    </w:p>
    <w:p w14:paraId="1D3A9C87" w14:textId="0D319BEA" w:rsidR="00100CD8" w:rsidRPr="007861CA" w:rsidDel="00D95052" w:rsidRDefault="18550EE6">
      <w:pPr>
        <w:widowControl/>
        <w:spacing w:after="220"/>
        <w:jc w:val="both"/>
      </w:pPr>
      <w:r>
        <w:rPr>
          <w:i/>
          <w:iCs/>
        </w:rPr>
        <w:t xml:space="preserve">. </w:t>
      </w:r>
    </w:p>
    <w:p w14:paraId="0E4DF3A8" w14:textId="4212903E" w:rsidR="3F38E2E8" w:rsidRDefault="3F38E2E8" w:rsidP="2A454D1A">
      <w:pPr>
        <w:pStyle w:val="Heading2"/>
      </w:pPr>
      <w:bookmarkStart w:id="36" w:name="_Toc244107639"/>
      <w:r w:rsidRPr="2A454D1A">
        <w:lastRenderedPageBreak/>
        <w:t>CIM Practitioner Guidance</w:t>
      </w:r>
      <w:bookmarkEnd w:id="36"/>
      <w:r w:rsidRPr="2A454D1A">
        <w:t xml:space="preserve"> </w:t>
      </w:r>
    </w:p>
    <w:p w14:paraId="3B268675" w14:textId="243E86F3" w:rsidR="1C062EDF" w:rsidRDefault="1C062EDF">
      <w:pPr>
        <w:widowControl/>
        <w:spacing w:after="220"/>
        <w:jc w:val="both"/>
      </w:pPr>
      <w:r>
        <w:t>In addition to the guidance provided for each definition, the following</w:t>
      </w:r>
      <w:r w:rsidR="5353D02E">
        <w:t xml:space="preserve"> general guidance</w:t>
      </w:r>
      <w:r w:rsidR="22740616">
        <w:t xml:space="preserve"> is provided for the Practitioner</w:t>
      </w:r>
      <w:r>
        <w:t xml:space="preserve">: </w:t>
      </w:r>
    </w:p>
    <w:p w14:paraId="0B717484" w14:textId="77777777" w:rsidR="003E325D" w:rsidRDefault="003E325D" w:rsidP="003E325D">
      <w:pPr>
        <w:widowControl/>
        <w:spacing w:after="220"/>
        <w:jc w:val="both"/>
      </w:pPr>
      <w:r>
        <w:t xml:space="preserve">Throughout the CIM Definition Standards, where appropriate for certain deposit types, “quality” may be substituted for “grade” and “volume” may be substituted for “tonnage”. </w:t>
      </w:r>
    </w:p>
    <w:p w14:paraId="1A8F95C4" w14:textId="3A4CCA63" w:rsidR="003E325D" w:rsidRDefault="003E325D" w:rsidP="003E325D">
      <w:pPr>
        <w:widowControl/>
        <w:spacing w:after="220"/>
        <w:jc w:val="both"/>
      </w:pPr>
      <w:r w:rsidRPr="007861CA">
        <w:t xml:space="preserve">Where </w:t>
      </w:r>
      <w:r w:rsidR="00853790" w:rsidRPr="007861CA">
        <w:t>P</w:t>
      </w:r>
      <w:r w:rsidRPr="007861CA">
        <w:t>ractitioners are preparing documentation of</w:t>
      </w:r>
      <w:r>
        <w:t xml:space="preserve"> Exploration Targets, Mineral Resources and Mineral Reserves, or mining studies (Scoping Study, Preliminary Feasibility, Feasibility Studies, or Life of Mine Plan), they </w:t>
      </w:r>
      <w:proofErr w:type="gramStart"/>
      <w:r w:rsidRPr="007861CA">
        <w:t>should</w:t>
      </w:r>
      <w:r>
        <w:t xml:space="preserve">  only</w:t>
      </w:r>
      <w:proofErr w:type="gramEnd"/>
      <w:r>
        <w:t xml:space="preserve"> </w:t>
      </w:r>
      <w:r w:rsidRPr="007861CA">
        <w:t xml:space="preserve">use </w:t>
      </w:r>
      <w:r>
        <w:t>the terms and definitions contained herein.</w:t>
      </w:r>
    </w:p>
    <w:p w14:paraId="510E3D6D" w14:textId="166FD3DF" w:rsidR="00ED3F69" w:rsidRDefault="00ED3F69" w:rsidP="00ED3F69">
      <w:pPr>
        <w:widowControl/>
        <w:spacing w:after="220"/>
        <w:jc w:val="both"/>
      </w:pPr>
      <w:r>
        <w:rPr>
          <w:b/>
          <w:bCs/>
          <w:i/>
          <w:iCs/>
        </w:rPr>
        <w:t>All disclosure of Mineral Resources should include a statement whether the Mineral Resources are inclusive or exclusive of Mineral Reserves</w:t>
      </w:r>
      <w:r w:rsidRPr="2A454D1A">
        <w:rPr>
          <w:b/>
          <w:bCs/>
          <w:i/>
          <w:iCs/>
        </w:rPr>
        <w:t xml:space="preserve">. </w:t>
      </w:r>
      <w:r>
        <w:rPr>
          <w:i/>
          <w:iCs/>
        </w:rPr>
        <w:t>Appropriate forms of clarifying statements may be</w:t>
      </w:r>
    </w:p>
    <w:p w14:paraId="6DA2A702" w14:textId="77777777" w:rsidR="00ED3F69" w:rsidRDefault="00ED3F69" w:rsidP="00ED3F69">
      <w:pPr>
        <w:widowControl/>
        <w:numPr>
          <w:ilvl w:val="0"/>
          <w:numId w:val="1"/>
        </w:numPr>
        <w:spacing w:after="120"/>
        <w:ind w:left="720" w:hanging="360"/>
        <w:jc w:val="both"/>
      </w:pPr>
      <w:r>
        <w:rPr>
          <w:i/>
          <w:iCs/>
        </w:rPr>
        <w:t>“The Mineral Resources are inclusive of those Mineral Resources modified to produce the Mineral Reserves”, or</w:t>
      </w:r>
    </w:p>
    <w:p w14:paraId="2B1F3947" w14:textId="4C9BCCFB" w:rsidR="00ED3F69" w:rsidRDefault="00ED3F69" w:rsidP="06F5A1C7">
      <w:pPr>
        <w:widowControl/>
        <w:numPr>
          <w:ilvl w:val="0"/>
          <w:numId w:val="1"/>
        </w:numPr>
        <w:spacing w:after="120"/>
        <w:ind w:left="720" w:hanging="360"/>
        <w:jc w:val="both"/>
      </w:pPr>
      <w:r w:rsidRPr="06F5A1C7">
        <w:rPr>
          <w:i/>
          <w:iCs/>
        </w:rPr>
        <w:t>“</w:t>
      </w:r>
      <w:r w:rsidR="0069365C" w:rsidRPr="06F5A1C7">
        <w:rPr>
          <w:i/>
          <w:iCs/>
        </w:rPr>
        <w:t>Mineral</w:t>
      </w:r>
      <w:r w:rsidRPr="06F5A1C7">
        <w:rPr>
          <w:i/>
          <w:iCs/>
        </w:rPr>
        <w:t xml:space="preserve"> Resources are exclusive </w:t>
      </w:r>
      <w:r w:rsidR="00716BBE" w:rsidRPr="06F5A1C7">
        <w:rPr>
          <w:i/>
          <w:iCs/>
        </w:rPr>
        <w:t>of Mineral</w:t>
      </w:r>
      <w:r w:rsidRPr="06F5A1C7">
        <w:rPr>
          <w:i/>
          <w:iCs/>
        </w:rPr>
        <w:t xml:space="preserve"> Reserves”.</w:t>
      </w:r>
    </w:p>
    <w:p w14:paraId="1FF11CD7" w14:textId="6AD4155C" w:rsidR="00ED3F69" w:rsidRDefault="00ED3F69" w:rsidP="00ED3F69">
      <w:pPr>
        <w:widowControl/>
        <w:spacing w:after="220"/>
        <w:jc w:val="both"/>
      </w:pPr>
      <w:r>
        <w:t>Inferred Mineral Resources are, by definition, always additional to Mineral Reserves</w:t>
      </w:r>
      <w:r w:rsidR="0013736A">
        <w:t>.</w:t>
      </w:r>
    </w:p>
    <w:p w14:paraId="1D3A9C8F" w14:textId="7694784B" w:rsidR="00100CD8" w:rsidRDefault="00100CD8" w:rsidP="007861CA">
      <w:pPr>
        <w:spacing w:line="20" w:lineRule="exact"/>
      </w:pPr>
      <w:bookmarkStart w:id="37" w:name="Reporting_of_Coal_Reserves"/>
      <w:bookmarkStart w:id="38" w:name="Reporting_of_Industrial_Minerals"/>
      <w:bookmarkStart w:id="39" w:name="Reporting_of_Diamonds_and_Gemstones"/>
      <w:bookmarkEnd w:id="37"/>
      <w:bookmarkEnd w:id="38"/>
      <w:bookmarkEnd w:id="39"/>
    </w:p>
    <w:sectPr w:rsidR="00100CD8">
      <w:headerReference w:type="default" r:id="rId14"/>
      <w:footerReference w:type="default" r:id="rId15"/>
      <w:headerReference w:type="first" r:id="rId16"/>
      <w:footerReference w:type="first" r:id="rId17"/>
      <w:pgSz w:w="12240" w:h="15840"/>
      <w:pgMar w:top="1339" w:right="1195" w:bottom="274" w:left="1224"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69991" w14:textId="77777777" w:rsidR="00E3542E" w:rsidRDefault="00E3542E">
      <w:r>
        <w:separator/>
      </w:r>
    </w:p>
  </w:endnote>
  <w:endnote w:type="continuationSeparator" w:id="0">
    <w:p w14:paraId="26F09CA1" w14:textId="77777777" w:rsidR="00E3542E" w:rsidRDefault="00E3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07B9C" w14:textId="77777777" w:rsidR="00E3542E" w:rsidRDefault="00E3542E">
    <w:pPr>
      <w:pBdr>
        <w:top w:val="nil"/>
        <w:left w:val="nil"/>
        <w:bottom w:val="nil"/>
        <w:right w:val="nil"/>
        <w:between w:val="nil"/>
      </w:pBdr>
      <w:tabs>
        <w:tab w:val="center" w:pos="4680"/>
        <w:tab w:val="right" w:pos="9360"/>
      </w:tabs>
      <w:jc w:val="right"/>
      <w:rPr>
        <w:color w:val="000000"/>
      </w:rPr>
    </w:pPr>
  </w:p>
  <w:p w14:paraId="1A32C22D" w14:textId="77777777" w:rsidR="00E3542E" w:rsidRDefault="00E3542E">
    <w:pPr>
      <w:pBdr>
        <w:top w:val="nil"/>
        <w:left w:val="nil"/>
        <w:bottom w:val="nil"/>
        <w:right w:val="nil"/>
        <w:between w:val="nil"/>
      </w:pBdr>
      <w:tabs>
        <w:tab w:val="center" w:pos="4680"/>
        <w:tab w:val="right" w:pos="9360"/>
      </w:tabs>
      <w:jc w:val="center"/>
      <w:rPr>
        <w:rFonts w:ascii="Calibri" w:eastAsia="Calibri" w:hAnsi="Calibri" w:cs="Calibri"/>
        <w:color w:val="404040"/>
        <w:sz w:val="20"/>
        <w:szCs w:val="20"/>
      </w:rPr>
    </w:pPr>
    <w:r>
      <w:rPr>
        <w:rFonts w:ascii="Calibri" w:eastAsia="Calibri" w:hAnsi="Calibri" w:cs="Calibri"/>
        <w:color w:val="404040"/>
        <w:sz w:val="20"/>
        <w:szCs w:val="20"/>
      </w:rPr>
      <w:fldChar w:fldCharType="begin"/>
    </w:r>
    <w:r>
      <w:rPr>
        <w:rFonts w:ascii="Calibri" w:eastAsia="Calibri" w:hAnsi="Calibri" w:cs="Calibri"/>
        <w:color w:val="404040"/>
        <w:sz w:val="20"/>
        <w:szCs w:val="20"/>
      </w:rPr>
      <w:instrText>PAGE</w:instrText>
    </w:r>
    <w:r>
      <w:rPr>
        <w:rFonts w:ascii="Calibri" w:eastAsia="Calibri" w:hAnsi="Calibri" w:cs="Calibri"/>
        <w:color w:val="404040"/>
        <w:sz w:val="20"/>
        <w:szCs w:val="20"/>
      </w:rPr>
      <w:fldChar w:fldCharType="separate"/>
    </w:r>
    <w:r>
      <w:rPr>
        <w:rFonts w:ascii="Calibri" w:eastAsia="Calibri" w:hAnsi="Calibri" w:cs="Calibri"/>
        <w:noProof/>
        <w:color w:val="404040"/>
        <w:sz w:val="20"/>
        <w:szCs w:val="20"/>
      </w:rPr>
      <w:t>1</w:t>
    </w:r>
    <w:r>
      <w:rPr>
        <w:rFonts w:ascii="Calibri" w:eastAsia="Calibri" w:hAnsi="Calibri" w:cs="Calibri"/>
        <w:color w:val="404040"/>
        <w:sz w:val="20"/>
        <w:szCs w:val="20"/>
      </w:rPr>
      <w:fldChar w:fldCharType="end"/>
    </w:r>
  </w:p>
  <w:p w14:paraId="284FFC29" w14:textId="77777777" w:rsidR="00E3542E" w:rsidRDefault="00E3542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47F91" w14:textId="77777777" w:rsidR="00E3542E" w:rsidRDefault="00E3542E">
    <w:pPr>
      <w:pBdr>
        <w:top w:val="nil"/>
        <w:left w:val="nil"/>
        <w:bottom w:val="nil"/>
        <w:right w:val="nil"/>
        <w:between w:val="nil"/>
      </w:pBdr>
      <w:tabs>
        <w:tab w:val="center" w:pos="4680"/>
        <w:tab w:val="right" w:pos="9360"/>
      </w:tabs>
      <w:rPr>
        <w:color w:val="000000"/>
      </w:rPr>
    </w:pPr>
  </w:p>
  <w:p w14:paraId="0E2EB1F9" w14:textId="77777777" w:rsidR="00E3542E" w:rsidRDefault="00E3542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1C139" w14:textId="77777777" w:rsidR="00E3542E" w:rsidRDefault="00E3542E">
      <w:r>
        <w:separator/>
      </w:r>
    </w:p>
  </w:footnote>
  <w:footnote w:type="continuationSeparator" w:id="0">
    <w:p w14:paraId="495C842C" w14:textId="77777777" w:rsidR="00E3542E" w:rsidRDefault="00E3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C2D9C" w14:textId="77777777" w:rsidR="00E3542E" w:rsidRDefault="00E3542E">
    <w:pPr>
      <w:pBdr>
        <w:top w:val="nil"/>
        <w:left w:val="nil"/>
        <w:bottom w:val="nil"/>
        <w:right w:val="nil"/>
        <w:between w:val="nil"/>
      </w:pBdr>
      <w:tabs>
        <w:tab w:val="center" w:pos="4680"/>
        <w:tab w:val="right" w:pos="9360"/>
        <w:tab w:val="left" w:pos="3420"/>
      </w:tabs>
      <w:rPr>
        <w:rFonts w:ascii="Calibri" w:eastAsia="Calibri" w:hAnsi="Calibri" w:cs="Calibri"/>
        <w:color w:val="000000"/>
      </w:rPr>
    </w:pPr>
    <w:r>
      <w:rPr>
        <w:rFonts w:ascii="Calibri" w:eastAsia="Calibri" w:hAnsi="Calibri" w:cs="Calibri"/>
        <w:sz w:val="20"/>
        <w:szCs w:val="20"/>
      </w:rPr>
      <w:t>CIM Definition Standards for Mineral Resources &amp; Mineral Reserves</w:t>
    </w:r>
    <w:r>
      <w:rPr>
        <w:rFonts w:ascii="Calibri" w:eastAsia="Calibri" w:hAnsi="Calibri" w:cs="Calibri"/>
        <w:sz w:val="20"/>
        <w:szCs w:val="20"/>
      </w:rPr>
      <w:tab/>
      <w:t xml:space="preserve">Draft October 13, </w:t>
    </w:r>
    <w:proofErr w:type="gramStart"/>
    <w:r>
      <w:rPr>
        <w:rFonts w:ascii="Calibri" w:eastAsia="Calibri" w:hAnsi="Calibri" w:cs="Calibri"/>
        <w:sz w:val="20"/>
        <w:szCs w:val="20"/>
      </w:rPr>
      <w:t>2026</w:t>
    </w:r>
    <w:proofErr w:type="gramEnd"/>
    <w:r>
      <w:rPr>
        <w:rFonts w:ascii="Calibri" w:eastAsia="Calibri" w:hAnsi="Calibri" w:cs="Calibri"/>
        <w:color w:val="000000"/>
      </w:rPr>
      <w:tab/>
    </w:r>
    <w:r>
      <w:rPr>
        <w:noProof/>
        <w:lang w:val="en-CA" w:bidi="ar-SA"/>
      </w:rPr>
      <mc:AlternateContent>
        <mc:Choice Requires="wps">
          <w:drawing>
            <wp:anchor distT="0" distB="0" distL="114300" distR="114300" simplePos="0" relativeHeight="251658240" behindDoc="0" locked="0" layoutInCell="1" hidden="0" allowOverlap="1" wp14:anchorId="21DEFAED" wp14:editId="05ABC5ED">
              <wp:simplePos x="0" y="0"/>
              <wp:positionH relativeFrom="column">
                <wp:posOffset>-101599</wp:posOffset>
              </wp:positionH>
              <wp:positionV relativeFrom="paragraph">
                <wp:posOffset>177800</wp:posOffset>
              </wp:positionV>
              <wp:extent cx="6341110" cy="22225"/>
              <wp:effectExtent l="0" t="0" r="21590" b="34925"/>
              <wp:wrapNone/>
              <wp:docPr id="17" name="Straight Arrow Connector 17"/>
              <wp:cNvGraphicFramePr/>
              <a:graphic xmlns:a="http://schemas.openxmlformats.org/drawingml/2006/main">
                <a:graphicData uri="http://schemas.microsoft.com/office/word/2010/wordprocessingShape">
                  <wps:wsp>
                    <wps:cNvCnPr/>
                    <wps:spPr>
                      <a:xfrm>
                        <a:off x="2180208" y="3777460"/>
                        <a:ext cx="6331585" cy="5080"/>
                      </a:xfrm>
                      <a:prstGeom prst="straightConnector1">
                        <a:avLst/>
                      </a:prstGeom>
                      <a:noFill/>
                      <a:ln w="9525" cap="flat" cmpd="sng">
                        <a:solidFill>
                          <a:schemeClr val="accent1">
                            <a:lumMod val="75000"/>
                          </a:schemeClr>
                        </a:solidFill>
                        <a:prstDash val="solid"/>
                        <a:round/>
                        <a:headEnd type="none" w="sm" len="sm"/>
                        <a:tailEnd type="none" w="sm" len="sm"/>
                      </a:ln>
                    </wps:spPr>
                    <wps:bodyPr/>
                  </wps:wsp>
                </a:graphicData>
              </a:graphic>
            </wp:anchor>
          </w:drawing>
        </mc:Choice>
        <mc:Fallback>
          <w:pict>
            <v:shapetype w14:anchorId="586C503E" id="_x0000_t32" coordsize="21600,21600" o:spt="32" o:oned="t" path="m,l21600,21600e" filled="f">
              <v:path arrowok="t" fillok="f" o:connecttype="none"/>
              <o:lock v:ext="edit" shapetype="t"/>
            </v:shapetype>
            <v:shape id="Straight Arrow Connector 17" o:spid="_x0000_s1026" type="#_x0000_t32" style="position:absolute;margin-left:-8pt;margin-top:14pt;width:499.3pt;height:1.7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HL13gEAALMDAAAOAAAAZHJzL2Uyb0RvYy54bWysU8uuGyEM3VfqPyD2zUwmnSSNMrmLpLeb&#10;Pq7U9gN8gckgAUZAMsnf15DcpI9FpaobMNg+HNuH9cPJGnZUIWp0HZ9Oas6UEyi123f8+7fHN0vO&#10;YgInwaBTHT+ryB82r1+tR79SDQ5opAqMQFxcjb7jQ0p+VVVRDMpCnKBXjpw9BguJjmFfyQAjoVtT&#10;NXU9r0YM0gcUKka63V2cfFPw+16J9KXvo0rMdJy4pbKGsj7ntdqsYbUP4ActrjTgH1hY0I4evUHt&#10;IAE7BP0HlNUiYMQ+TQTaCvteC1VqoGqm9W/VfB3Aq1ILNSf6W5vi/4MVn49b9xSoDaOPq+ifQq7i&#10;1Aebd+LHTh1vpsu6qWmS547PFovF2/m1ceqUmKCA+Ww2bZctZ4Ii2npZ3NUdx4eYPii0LBsdjymA&#10;3g9pi87RhDBMS+/g+DEmYkKJLwmZhMNHbUwZlHFs7Pi7tslPAcmlN5DItF4SqtsXmIhGy5ySk4uQ&#10;1NYEdgSSAAihXLo8Zw72E8rL/aKt6xfSt5TC5Be0TGsHcbgkFddFQQEPThaKgwL53kmWzp7k7kj0&#10;PHOOljOj6IuQUeISaPP3OGqFccTjPpxsPaM8l5mVe1JGYXpVcZbez+eSff9rmx8AAAD//wMAUEsD&#10;BBQABgAIAAAAIQBRS8zA3wAAAAkBAAAPAAAAZHJzL2Rvd25yZXYueG1sTI9BS8QwEIXvgv8hjOBt&#10;N23FUmvTRRQ9CIKugtdsM226dpLaZLfVX+940tNjeI8336s2Cw3iiFPovVOQrhMQ6BpvetcpeHu9&#10;XxUgQtTO6ME7VPCFATb16UmlS+Nn94LHbewEl7hQagU2xrGUMjQWSYe1H9Gx1/qJdORz6qSZ9Mzl&#10;NMgsSXJJunf8weoRby02H9sDKSC6+2wzet+3++8Z8fH5wfZPpNT52XJzDSLiEv/C8IvP6FAz084f&#10;nAliULBKc94SFWQFKweuiiwHsVNwkV6CrCv5f0H9AwAA//8DAFBLAQItABQABgAIAAAAIQC2gziS&#10;/gAAAOEBAAATAAAAAAAAAAAAAAAAAAAAAABbQ29udGVudF9UeXBlc10ueG1sUEsBAi0AFAAGAAgA&#10;AAAhADj9If/WAAAAlAEAAAsAAAAAAAAAAAAAAAAALwEAAF9yZWxzLy5yZWxzUEsBAi0AFAAGAAgA&#10;AAAhAB+QcvXeAQAAswMAAA4AAAAAAAAAAAAAAAAALgIAAGRycy9lMm9Eb2MueG1sUEsBAi0AFAAG&#10;AAgAAAAhAFFLzMDfAAAACQEAAA8AAAAAAAAAAAAAAAAAOAQAAGRycy9kb3ducmV2LnhtbFBLBQYA&#10;AAAABAAEAPMAAABEBQAAAAA=&#10;" strokecolor="#365f91 [2404]">
              <v:stroke startarrowwidth="narrow" startarrowlength="short" endarrowwidth="narrow" endarrowlength="short"/>
            </v:shape>
          </w:pict>
        </mc:Fallback>
      </mc:AlternateContent>
    </w:r>
    <w:r>
      <w:rPr>
        <w:noProof/>
        <w:lang w:val="en-CA" w:bidi="ar-SA"/>
      </w:rPr>
      <mc:AlternateContent>
        <mc:Choice Requires="wps">
          <w:drawing>
            <wp:anchor distT="0" distB="0" distL="114300" distR="114300" simplePos="0" relativeHeight="251659264" behindDoc="0" locked="0" layoutInCell="1" hidden="0" allowOverlap="1" wp14:anchorId="640CF4B0" wp14:editId="6013F54E">
              <wp:simplePos x="0" y="0"/>
              <wp:positionH relativeFrom="column">
                <wp:posOffset>-50799</wp:posOffset>
              </wp:positionH>
              <wp:positionV relativeFrom="paragraph">
                <wp:posOffset>190500</wp:posOffset>
              </wp:positionV>
              <wp:extent cx="5080" cy="12700"/>
              <wp:effectExtent l="0" t="0" r="0" b="0"/>
              <wp:wrapNone/>
              <wp:docPr id="18" name="Straight Arrow Connector 18"/>
              <wp:cNvGraphicFramePr/>
              <a:graphic xmlns:a="http://schemas.openxmlformats.org/drawingml/2006/main">
                <a:graphicData uri="http://schemas.microsoft.com/office/word/2010/wordprocessingShape">
                  <wps:wsp>
                    <wps:cNvCnPr/>
                    <wps:spPr>
                      <a:xfrm>
                        <a:off x="2180208" y="3777460"/>
                        <a:ext cx="6331585" cy="5080"/>
                      </a:xfrm>
                      <a:prstGeom prst="straightConnector1">
                        <a:avLst/>
                      </a:prstGeom>
                      <a:noFill/>
                      <a:ln w="9525" cap="flat" cmpd="sng">
                        <a:solidFill>
                          <a:srgbClr val="1AA2DB"/>
                        </a:solidFill>
                        <a:prstDash val="solid"/>
                        <a:round/>
                        <a:headEnd type="none" w="sm" len="sm"/>
                        <a:tailEnd type="none" w="sm" len="sm"/>
                      </a:ln>
                    </wps:spPr>
                    <wps:bodyPr/>
                  </wps:wsp>
                </a:graphicData>
              </a:graphic>
            </wp:anchor>
          </w:drawing>
        </mc:Choice>
        <mc:Fallback>
          <w:pict>
            <v:shape w14:anchorId="1D682345" id="Straight Arrow Connector 18" o:spid="_x0000_s1026" type="#_x0000_t32" style="position:absolute;margin-left:-4pt;margin-top:15pt;width:.4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BY90QEAAIwDAAAOAAAAZHJzL2Uyb0RvYy54bWysU8mOEzEQvSPxD5bvpJeQhVY6oyFhuCAY&#10;CfgAx0u3JW9yedLJ31N2MhOWAxLi4i67ql69qnq9uTtZQ44ygvaup82spkQ67oV2Q0+/f3t4s6YE&#10;EnOCGe9kT88S6N329avNFDrZ+tEbISNBEAfdFHo6phS6qgI+Sstg5oN06FQ+WpbwGodKRDYhujVV&#10;W9fLavJRhOi5BMDX/cVJtwVfKcnTF6VAJmJ6itxSOWM5D/msthvWDZGFUfMrDfYPLCzTDou+QO1Z&#10;YuQp6j+grObRg1dpxr2tvFKay9IDdtPUv3XzdWRBll5wOBBexgT/D5Z/Pu7cY8QxTAE6CI8xd3FS&#10;0eYv8iOnnrbNum5r3OS5p/PVavV2eR2cPCXCMWA5nzeL9YISjhGLel3c1Q0nREgfpbckGz2FFJke&#10;xrTzzuGGfGzK7NjxEyRkgonPCZmE8w/amLIo48jU03eLNpdiKBdlWELTBoGobigw4I0WOSUnQxwO&#10;OxPJkaEAmvv7dv8+7xxL/BKW6+0ZjJe44rpII/onJ0rtUTLxwQmSzgF17FDNNJMBS4mRqH00Slxi&#10;2vw9DgkYhzxuU8/WwYtzWUZ5x5UXpld5Zk39fC/Zt59o+wMAAP//AwBQSwMEFAAGAAgAAAAhAFX0&#10;2L7eAAAABwEAAA8AAABkcnMvZG93bnJldi54bWxMj8FOwzAQRO9I/IO1SNxSmyDRKsSpChIckAql&#10;tIfe3HgbR8TrKHbb8Pcsp3IajWY187acj74TJxxiG0jD3USBQKqDbanRsPl6yWYgYjJkTRcINfxg&#10;hHl1fVWawoYzfeJpnRrBJRQLo8Gl1BdSxtqhN3ESeiTODmHwJrEdGmkHc+Zy38lcqQfpTUu84EyP&#10;zw7r7/XRa1iu5PvOfbyt+qfpYrN9bW2/tUutb2/GxSOIhGO6HMMfPqNDxUz7cCQbRachm/ErScO9&#10;YuU8m+Yg9uxzBbIq5X/+6hcAAP//AwBQSwECLQAUAAYACAAAACEAtoM4kv4AAADhAQAAEwAAAAAA&#10;AAAAAAAAAAAAAAAAW0NvbnRlbnRfVHlwZXNdLnhtbFBLAQItABQABgAIAAAAIQA4/SH/1gAAAJQB&#10;AAALAAAAAAAAAAAAAAAAAC8BAABfcmVscy8ucmVsc1BLAQItABQABgAIAAAAIQBN2BY90QEAAIwD&#10;AAAOAAAAAAAAAAAAAAAAAC4CAABkcnMvZTJvRG9jLnhtbFBLAQItABQABgAIAAAAIQBV9Ni+3gAA&#10;AAcBAAAPAAAAAAAAAAAAAAAAACsEAABkcnMvZG93bnJldi54bWxQSwUGAAAAAAQABADzAAAANgUA&#10;AAAA&#10;" strokecolor="#1aa2db">
              <v:stroke startarrowwidth="narrow" startarrowlength="short" endarrowwidth="narrow" endarrowlength="short"/>
            </v:shape>
          </w:pict>
        </mc:Fallback>
      </mc:AlternateContent>
    </w:r>
  </w:p>
  <w:p w14:paraId="5A2EA412" w14:textId="77777777" w:rsidR="00E3542E" w:rsidRDefault="00E354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DD50" w14:textId="77777777" w:rsidR="00E3542E" w:rsidRDefault="00E3542E">
    <w:pPr>
      <w:pBdr>
        <w:top w:val="nil"/>
        <w:left w:val="nil"/>
        <w:bottom w:val="nil"/>
        <w:right w:val="nil"/>
        <w:between w:val="nil"/>
      </w:pBdr>
      <w:tabs>
        <w:tab w:val="center" w:pos="4680"/>
        <w:tab w:val="right" w:pos="9360"/>
      </w:tabs>
      <w:rPr>
        <w:color w:val="000000"/>
      </w:rPr>
    </w:pPr>
  </w:p>
  <w:p w14:paraId="34F80E85" w14:textId="77777777" w:rsidR="00E3542E" w:rsidRDefault="00E3542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E7BBA"/>
    <w:multiLevelType w:val="multilevel"/>
    <w:tmpl w:val="A09E7050"/>
    <w:lvl w:ilvl="0">
      <w:start w:val="5"/>
      <w:numFmt w:val="decimal"/>
      <w:lvlText w:val="%1."/>
      <w:lvlJc w:val="left"/>
      <w:pPr>
        <w:ind w:left="2769" w:hanging="709"/>
      </w:pPr>
      <w:rPr>
        <w:rFonts w:ascii="Arial" w:eastAsia="Arial" w:hAnsi="Arial" w:cs="Arial" w:hint="default"/>
        <w:b/>
        <w:bCs/>
        <w:color w:val="293755"/>
        <w:w w:val="98"/>
        <w:sz w:val="40"/>
        <w:szCs w:val="40"/>
        <w:lang w:val="en-US" w:eastAsia="en-US" w:bidi="ar-SA"/>
      </w:rPr>
    </w:lvl>
    <w:lvl w:ilvl="1">
      <w:start w:val="1"/>
      <w:numFmt w:val="decimal"/>
      <w:lvlText w:val="%1.%2"/>
      <w:lvlJc w:val="left"/>
      <w:pPr>
        <w:ind w:left="2735" w:hanging="709"/>
      </w:pPr>
      <w:rPr>
        <w:rFonts w:hint="default"/>
        <w:b/>
        <w:spacing w:val="-1"/>
        <w:w w:val="99"/>
        <w:lang w:val="en-US" w:eastAsia="en-US" w:bidi="ar-SA"/>
      </w:rPr>
    </w:lvl>
    <w:lvl w:ilvl="2">
      <w:numFmt w:val="bullet"/>
      <w:lvlText w:val="•"/>
      <w:lvlJc w:val="left"/>
      <w:pPr>
        <w:ind w:left="3457" w:hanging="709"/>
      </w:pPr>
      <w:rPr>
        <w:rFonts w:ascii="Calibri" w:eastAsia="Calibri" w:hAnsi="Calibri" w:cs="Calibri" w:hint="default"/>
        <w:color w:val="293755"/>
        <w:w w:val="99"/>
        <w:sz w:val="20"/>
        <w:szCs w:val="20"/>
        <w:lang w:val="en-US" w:eastAsia="en-US" w:bidi="ar-SA"/>
      </w:rPr>
    </w:lvl>
    <w:lvl w:ilvl="3">
      <w:numFmt w:val="bullet"/>
      <w:lvlText w:val="•"/>
      <w:lvlJc w:val="left"/>
      <w:pPr>
        <w:ind w:left="4294" w:hanging="709"/>
      </w:pPr>
      <w:rPr>
        <w:rFonts w:hint="default"/>
        <w:lang w:val="en-US" w:eastAsia="en-US" w:bidi="ar-SA"/>
      </w:rPr>
    </w:lvl>
    <w:lvl w:ilvl="4">
      <w:numFmt w:val="bullet"/>
      <w:lvlText w:val="•"/>
      <w:lvlJc w:val="left"/>
      <w:pPr>
        <w:ind w:left="5129" w:hanging="709"/>
      </w:pPr>
      <w:rPr>
        <w:rFonts w:hint="default"/>
        <w:lang w:val="en-US" w:eastAsia="en-US" w:bidi="ar-SA"/>
      </w:rPr>
    </w:lvl>
    <w:lvl w:ilvl="5">
      <w:numFmt w:val="bullet"/>
      <w:lvlText w:val="•"/>
      <w:lvlJc w:val="left"/>
      <w:pPr>
        <w:ind w:left="5964" w:hanging="709"/>
      </w:pPr>
      <w:rPr>
        <w:rFonts w:hint="default"/>
        <w:lang w:val="en-US" w:eastAsia="en-US" w:bidi="ar-SA"/>
      </w:rPr>
    </w:lvl>
    <w:lvl w:ilvl="6">
      <w:numFmt w:val="bullet"/>
      <w:lvlText w:val="•"/>
      <w:lvlJc w:val="left"/>
      <w:pPr>
        <w:ind w:left="6799" w:hanging="709"/>
      </w:pPr>
      <w:rPr>
        <w:rFonts w:hint="default"/>
        <w:lang w:val="en-US" w:eastAsia="en-US" w:bidi="ar-SA"/>
      </w:rPr>
    </w:lvl>
    <w:lvl w:ilvl="7">
      <w:numFmt w:val="bullet"/>
      <w:lvlText w:val="•"/>
      <w:lvlJc w:val="left"/>
      <w:pPr>
        <w:ind w:left="7634" w:hanging="709"/>
      </w:pPr>
      <w:rPr>
        <w:rFonts w:hint="default"/>
        <w:lang w:val="en-US" w:eastAsia="en-US" w:bidi="ar-SA"/>
      </w:rPr>
    </w:lvl>
    <w:lvl w:ilvl="8">
      <w:numFmt w:val="bullet"/>
      <w:lvlText w:val="•"/>
      <w:lvlJc w:val="left"/>
      <w:pPr>
        <w:ind w:left="8469" w:hanging="709"/>
      </w:pPr>
      <w:rPr>
        <w:rFonts w:hint="default"/>
        <w:lang w:val="en-US" w:eastAsia="en-US" w:bidi="ar-SA"/>
      </w:rPr>
    </w:lvl>
  </w:abstractNum>
  <w:abstractNum w:abstractNumId="1" w15:restartNumberingAfterBreak="0">
    <w:nsid w:val="3BCA79A3"/>
    <w:multiLevelType w:val="multilevel"/>
    <w:tmpl w:val="764CB51A"/>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4"/>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C7758CF"/>
    <w:multiLevelType w:val="hybridMultilevel"/>
    <w:tmpl w:val="8B84D8BA"/>
    <w:lvl w:ilvl="0" w:tplc="FD4C011E">
      <w:numFmt w:val="bullet"/>
      <w:lvlText w:val=""/>
      <w:lvlJc w:val="left"/>
      <w:pPr>
        <w:ind w:left="839" w:hanging="361"/>
      </w:pPr>
      <w:rPr>
        <w:rFonts w:ascii="Symbol" w:eastAsia="Symbol" w:hAnsi="Symbol" w:cs="Symbol" w:hint="default"/>
        <w:b w:val="0"/>
        <w:bCs w:val="0"/>
        <w:i w:val="0"/>
        <w:iCs w:val="0"/>
        <w:spacing w:val="0"/>
        <w:w w:val="100"/>
        <w:sz w:val="22"/>
        <w:szCs w:val="22"/>
        <w:lang w:val="en-US" w:eastAsia="en-US" w:bidi="ar-SA"/>
      </w:rPr>
    </w:lvl>
    <w:lvl w:ilvl="1" w:tplc="2510396A">
      <w:numFmt w:val="bullet"/>
      <w:lvlText w:val="•"/>
      <w:lvlJc w:val="left"/>
      <w:pPr>
        <w:ind w:left="1760" w:hanging="361"/>
      </w:pPr>
      <w:rPr>
        <w:rFonts w:hint="default"/>
        <w:lang w:val="en-US" w:eastAsia="en-US" w:bidi="ar-SA"/>
      </w:rPr>
    </w:lvl>
    <w:lvl w:ilvl="2" w:tplc="0206EFEC">
      <w:numFmt w:val="bullet"/>
      <w:lvlText w:val="•"/>
      <w:lvlJc w:val="left"/>
      <w:pPr>
        <w:ind w:left="2680" w:hanging="361"/>
      </w:pPr>
      <w:rPr>
        <w:rFonts w:hint="default"/>
        <w:lang w:val="en-US" w:eastAsia="en-US" w:bidi="ar-SA"/>
      </w:rPr>
    </w:lvl>
    <w:lvl w:ilvl="3" w:tplc="F846435C">
      <w:numFmt w:val="bullet"/>
      <w:lvlText w:val="•"/>
      <w:lvlJc w:val="left"/>
      <w:pPr>
        <w:ind w:left="3600" w:hanging="361"/>
      </w:pPr>
      <w:rPr>
        <w:rFonts w:hint="default"/>
        <w:lang w:val="en-US" w:eastAsia="en-US" w:bidi="ar-SA"/>
      </w:rPr>
    </w:lvl>
    <w:lvl w:ilvl="4" w:tplc="881284FC">
      <w:numFmt w:val="bullet"/>
      <w:lvlText w:val="•"/>
      <w:lvlJc w:val="left"/>
      <w:pPr>
        <w:ind w:left="4520" w:hanging="361"/>
      </w:pPr>
      <w:rPr>
        <w:rFonts w:hint="default"/>
        <w:lang w:val="en-US" w:eastAsia="en-US" w:bidi="ar-SA"/>
      </w:rPr>
    </w:lvl>
    <w:lvl w:ilvl="5" w:tplc="47A2981C">
      <w:numFmt w:val="bullet"/>
      <w:lvlText w:val="•"/>
      <w:lvlJc w:val="left"/>
      <w:pPr>
        <w:ind w:left="5440" w:hanging="361"/>
      </w:pPr>
      <w:rPr>
        <w:rFonts w:hint="default"/>
        <w:lang w:val="en-US" w:eastAsia="en-US" w:bidi="ar-SA"/>
      </w:rPr>
    </w:lvl>
    <w:lvl w:ilvl="6" w:tplc="16D8C140">
      <w:numFmt w:val="bullet"/>
      <w:lvlText w:val="•"/>
      <w:lvlJc w:val="left"/>
      <w:pPr>
        <w:ind w:left="6360" w:hanging="361"/>
      </w:pPr>
      <w:rPr>
        <w:rFonts w:hint="default"/>
        <w:lang w:val="en-US" w:eastAsia="en-US" w:bidi="ar-SA"/>
      </w:rPr>
    </w:lvl>
    <w:lvl w:ilvl="7" w:tplc="678856E2">
      <w:numFmt w:val="bullet"/>
      <w:lvlText w:val="•"/>
      <w:lvlJc w:val="left"/>
      <w:pPr>
        <w:ind w:left="7280" w:hanging="361"/>
      </w:pPr>
      <w:rPr>
        <w:rFonts w:hint="default"/>
        <w:lang w:val="en-US" w:eastAsia="en-US" w:bidi="ar-SA"/>
      </w:rPr>
    </w:lvl>
    <w:lvl w:ilvl="8" w:tplc="6C6CF972">
      <w:numFmt w:val="bullet"/>
      <w:lvlText w:val="•"/>
      <w:lvlJc w:val="left"/>
      <w:pPr>
        <w:ind w:left="8200" w:hanging="361"/>
      </w:pPr>
      <w:rPr>
        <w:rFonts w:hint="default"/>
        <w:lang w:val="en-US" w:eastAsia="en-US" w:bidi="ar-SA"/>
      </w:rPr>
    </w:lvl>
  </w:abstractNum>
  <w:num w:numId="1" w16cid:durableId="1153790196">
    <w:abstractNumId w:val="2"/>
  </w:num>
  <w:num w:numId="2" w16cid:durableId="405956627">
    <w:abstractNumId w:val="0"/>
  </w:num>
  <w:num w:numId="3" w16cid:durableId="194466997">
    <w:abstractNumId w:val="1"/>
  </w:num>
  <w:num w:numId="4" w16cid:durableId="15248582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CD8"/>
    <w:rsid w:val="00002C58"/>
    <w:rsid w:val="00002D3C"/>
    <w:rsid w:val="0000312E"/>
    <w:rsid w:val="0000654C"/>
    <w:rsid w:val="00013E49"/>
    <w:rsid w:val="00013E4E"/>
    <w:rsid w:val="00017BCD"/>
    <w:rsid w:val="00020844"/>
    <w:rsid w:val="00021D8B"/>
    <w:rsid w:val="000311BB"/>
    <w:rsid w:val="0003283F"/>
    <w:rsid w:val="00035B70"/>
    <w:rsid w:val="000372F6"/>
    <w:rsid w:val="000425D7"/>
    <w:rsid w:val="00053B05"/>
    <w:rsid w:val="00064E32"/>
    <w:rsid w:val="00067574"/>
    <w:rsid w:val="00076AC0"/>
    <w:rsid w:val="00080A8C"/>
    <w:rsid w:val="00085780"/>
    <w:rsid w:val="000A2A04"/>
    <w:rsid w:val="000A584F"/>
    <w:rsid w:val="000B20F6"/>
    <w:rsid w:val="000C1AF6"/>
    <w:rsid w:val="000C29FD"/>
    <w:rsid w:val="000C36B0"/>
    <w:rsid w:val="000C6BA2"/>
    <w:rsid w:val="000D465A"/>
    <w:rsid w:val="000E0914"/>
    <w:rsid w:val="000E1EE0"/>
    <w:rsid w:val="000E21C4"/>
    <w:rsid w:val="000E2D59"/>
    <w:rsid w:val="000E37DD"/>
    <w:rsid w:val="000E3ABF"/>
    <w:rsid w:val="000F0450"/>
    <w:rsid w:val="000F379E"/>
    <w:rsid w:val="000F65C5"/>
    <w:rsid w:val="000F6E19"/>
    <w:rsid w:val="00100CD8"/>
    <w:rsid w:val="00107EB4"/>
    <w:rsid w:val="001105F4"/>
    <w:rsid w:val="001151C8"/>
    <w:rsid w:val="00115543"/>
    <w:rsid w:val="00116CD8"/>
    <w:rsid w:val="00120F8E"/>
    <w:rsid w:val="00127038"/>
    <w:rsid w:val="00132CFB"/>
    <w:rsid w:val="001350DA"/>
    <w:rsid w:val="0013736A"/>
    <w:rsid w:val="001379CE"/>
    <w:rsid w:val="00142485"/>
    <w:rsid w:val="001444B7"/>
    <w:rsid w:val="001474ED"/>
    <w:rsid w:val="00154117"/>
    <w:rsid w:val="00155D24"/>
    <w:rsid w:val="00155FFB"/>
    <w:rsid w:val="0015672C"/>
    <w:rsid w:val="00157CA7"/>
    <w:rsid w:val="001776B8"/>
    <w:rsid w:val="00177F09"/>
    <w:rsid w:val="0019315C"/>
    <w:rsid w:val="001A117B"/>
    <w:rsid w:val="001B0AC8"/>
    <w:rsid w:val="001B38CB"/>
    <w:rsid w:val="001C4B9C"/>
    <w:rsid w:val="001D76E5"/>
    <w:rsid w:val="001E4AEE"/>
    <w:rsid w:val="00211CF3"/>
    <w:rsid w:val="0021251C"/>
    <w:rsid w:val="00212DC4"/>
    <w:rsid w:val="002212D9"/>
    <w:rsid w:val="002220BC"/>
    <w:rsid w:val="00222642"/>
    <w:rsid w:val="00226BD9"/>
    <w:rsid w:val="002349D6"/>
    <w:rsid w:val="00242A06"/>
    <w:rsid w:val="0025312A"/>
    <w:rsid w:val="00256F6F"/>
    <w:rsid w:val="002626A5"/>
    <w:rsid w:val="002634C8"/>
    <w:rsid w:val="00273795"/>
    <w:rsid w:val="00275A9E"/>
    <w:rsid w:val="00281D6A"/>
    <w:rsid w:val="00281D85"/>
    <w:rsid w:val="002873A4"/>
    <w:rsid w:val="002978B4"/>
    <w:rsid w:val="002A2397"/>
    <w:rsid w:val="002B47B4"/>
    <w:rsid w:val="002B5612"/>
    <w:rsid w:val="002B7EF4"/>
    <w:rsid w:val="002D30A9"/>
    <w:rsid w:val="002D47B1"/>
    <w:rsid w:val="002D643E"/>
    <w:rsid w:val="002E14D8"/>
    <w:rsid w:val="002E1FD6"/>
    <w:rsid w:val="002E2343"/>
    <w:rsid w:val="002E29C3"/>
    <w:rsid w:val="002E37F3"/>
    <w:rsid w:val="002E498F"/>
    <w:rsid w:val="002E73EB"/>
    <w:rsid w:val="0030455C"/>
    <w:rsid w:val="0031030A"/>
    <w:rsid w:val="003105CE"/>
    <w:rsid w:val="00310631"/>
    <w:rsid w:val="00313A94"/>
    <w:rsid w:val="00322F80"/>
    <w:rsid w:val="003279CB"/>
    <w:rsid w:val="00327FDC"/>
    <w:rsid w:val="00331493"/>
    <w:rsid w:val="00341A4D"/>
    <w:rsid w:val="00341FB4"/>
    <w:rsid w:val="003452D5"/>
    <w:rsid w:val="003461B6"/>
    <w:rsid w:val="003509CC"/>
    <w:rsid w:val="0036310B"/>
    <w:rsid w:val="00366168"/>
    <w:rsid w:val="003706A6"/>
    <w:rsid w:val="00374D19"/>
    <w:rsid w:val="00381A13"/>
    <w:rsid w:val="00384089"/>
    <w:rsid w:val="003A34A1"/>
    <w:rsid w:val="003A3A8B"/>
    <w:rsid w:val="003A51DB"/>
    <w:rsid w:val="003A7F14"/>
    <w:rsid w:val="003B16AF"/>
    <w:rsid w:val="003B1DB1"/>
    <w:rsid w:val="003B50CC"/>
    <w:rsid w:val="003B6C80"/>
    <w:rsid w:val="003C5069"/>
    <w:rsid w:val="003C7344"/>
    <w:rsid w:val="003D4525"/>
    <w:rsid w:val="003D6066"/>
    <w:rsid w:val="003D74D1"/>
    <w:rsid w:val="003E2F0A"/>
    <w:rsid w:val="003E325D"/>
    <w:rsid w:val="003F03D6"/>
    <w:rsid w:val="003F7771"/>
    <w:rsid w:val="00403EEC"/>
    <w:rsid w:val="00404B1F"/>
    <w:rsid w:val="00411DDE"/>
    <w:rsid w:val="00412185"/>
    <w:rsid w:val="004155F6"/>
    <w:rsid w:val="00425AAA"/>
    <w:rsid w:val="00434C3D"/>
    <w:rsid w:val="00435E33"/>
    <w:rsid w:val="004372AB"/>
    <w:rsid w:val="00441DAB"/>
    <w:rsid w:val="004459E1"/>
    <w:rsid w:val="004525BC"/>
    <w:rsid w:val="00457532"/>
    <w:rsid w:val="0046225F"/>
    <w:rsid w:val="004629FA"/>
    <w:rsid w:val="00466F11"/>
    <w:rsid w:val="004702F2"/>
    <w:rsid w:val="00470351"/>
    <w:rsid w:val="004712E8"/>
    <w:rsid w:val="00472106"/>
    <w:rsid w:val="004753B1"/>
    <w:rsid w:val="00477B63"/>
    <w:rsid w:val="004822DB"/>
    <w:rsid w:val="00485926"/>
    <w:rsid w:val="00487293"/>
    <w:rsid w:val="0049107D"/>
    <w:rsid w:val="00492CB2"/>
    <w:rsid w:val="004941BE"/>
    <w:rsid w:val="00494DD9"/>
    <w:rsid w:val="004A4052"/>
    <w:rsid w:val="004B2779"/>
    <w:rsid w:val="004C5118"/>
    <w:rsid w:val="004C6270"/>
    <w:rsid w:val="004D0035"/>
    <w:rsid w:val="004D5964"/>
    <w:rsid w:val="004E0001"/>
    <w:rsid w:val="004E255E"/>
    <w:rsid w:val="004E538B"/>
    <w:rsid w:val="004E559B"/>
    <w:rsid w:val="004E725A"/>
    <w:rsid w:val="004E73AB"/>
    <w:rsid w:val="004F345F"/>
    <w:rsid w:val="004F53A8"/>
    <w:rsid w:val="004F7907"/>
    <w:rsid w:val="00502675"/>
    <w:rsid w:val="005141CE"/>
    <w:rsid w:val="005152BE"/>
    <w:rsid w:val="00515A75"/>
    <w:rsid w:val="00523EC7"/>
    <w:rsid w:val="00525BC6"/>
    <w:rsid w:val="00526F4B"/>
    <w:rsid w:val="00527252"/>
    <w:rsid w:val="005322B8"/>
    <w:rsid w:val="00536B3F"/>
    <w:rsid w:val="00541F26"/>
    <w:rsid w:val="00544D5C"/>
    <w:rsid w:val="005465F9"/>
    <w:rsid w:val="00555CF8"/>
    <w:rsid w:val="00557B28"/>
    <w:rsid w:val="00577AF7"/>
    <w:rsid w:val="00577F4A"/>
    <w:rsid w:val="0058045E"/>
    <w:rsid w:val="005832D8"/>
    <w:rsid w:val="00590C5D"/>
    <w:rsid w:val="00592256"/>
    <w:rsid w:val="00592590"/>
    <w:rsid w:val="00595B50"/>
    <w:rsid w:val="005A3C91"/>
    <w:rsid w:val="005B1B18"/>
    <w:rsid w:val="005B2C78"/>
    <w:rsid w:val="005C77C3"/>
    <w:rsid w:val="005D04B8"/>
    <w:rsid w:val="005D0C51"/>
    <w:rsid w:val="005D4477"/>
    <w:rsid w:val="005D54BB"/>
    <w:rsid w:val="005D5B73"/>
    <w:rsid w:val="005F51E3"/>
    <w:rsid w:val="005F6439"/>
    <w:rsid w:val="005F6BE4"/>
    <w:rsid w:val="006011D8"/>
    <w:rsid w:val="006024E1"/>
    <w:rsid w:val="0062727B"/>
    <w:rsid w:val="006403B0"/>
    <w:rsid w:val="006543F9"/>
    <w:rsid w:val="00655D8C"/>
    <w:rsid w:val="00666A4F"/>
    <w:rsid w:val="0067197B"/>
    <w:rsid w:val="00673743"/>
    <w:rsid w:val="006826ED"/>
    <w:rsid w:val="0069365C"/>
    <w:rsid w:val="00696710"/>
    <w:rsid w:val="006A1099"/>
    <w:rsid w:val="006A2D99"/>
    <w:rsid w:val="006B16B8"/>
    <w:rsid w:val="006B25EE"/>
    <w:rsid w:val="006B3C6F"/>
    <w:rsid w:val="006B54A7"/>
    <w:rsid w:val="006C2DA9"/>
    <w:rsid w:val="006C76E1"/>
    <w:rsid w:val="006D2057"/>
    <w:rsid w:val="006D4EC6"/>
    <w:rsid w:val="006D705A"/>
    <w:rsid w:val="006E22B4"/>
    <w:rsid w:val="006E34F0"/>
    <w:rsid w:val="006E5A37"/>
    <w:rsid w:val="006E7C96"/>
    <w:rsid w:val="006F08F5"/>
    <w:rsid w:val="006F25BA"/>
    <w:rsid w:val="006F25F0"/>
    <w:rsid w:val="006F27C3"/>
    <w:rsid w:val="006F36A9"/>
    <w:rsid w:val="006F605B"/>
    <w:rsid w:val="006F6F0B"/>
    <w:rsid w:val="00703423"/>
    <w:rsid w:val="00703730"/>
    <w:rsid w:val="00703CA4"/>
    <w:rsid w:val="00705A69"/>
    <w:rsid w:val="007124A3"/>
    <w:rsid w:val="00715D80"/>
    <w:rsid w:val="00716BBE"/>
    <w:rsid w:val="00717E0B"/>
    <w:rsid w:val="00724552"/>
    <w:rsid w:val="00727D33"/>
    <w:rsid w:val="007307D2"/>
    <w:rsid w:val="00730CC2"/>
    <w:rsid w:val="00733156"/>
    <w:rsid w:val="0074414F"/>
    <w:rsid w:val="0074450A"/>
    <w:rsid w:val="00746138"/>
    <w:rsid w:val="007601F1"/>
    <w:rsid w:val="00760BA0"/>
    <w:rsid w:val="007648D0"/>
    <w:rsid w:val="00776D7E"/>
    <w:rsid w:val="0077783A"/>
    <w:rsid w:val="007861CA"/>
    <w:rsid w:val="00794B54"/>
    <w:rsid w:val="00796EC1"/>
    <w:rsid w:val="007B048D"/>
    <w:rsid w:val="007B0F3B"/>
    <w:rsid w:val="007B5F6D"/>
    <w:rsid w:val="007C0B82"/>
    <w:rsid w:val="007C3D9F"/>
    <w:rsid w:val="007C455A"/>
    <w:rsid w:val="007D7B89"/>
    <w:rsid w:val="007E1296"/>
    <w:rsid w:val="007E3821"/>
    <w:rsid w:val="007E3A93"/>
    <w:rsid w:val="007F3CA4"/>
    <w:rsid w:val="007F7B0B"/>
    <w:rsid w:val="007F7EA8"/>
    <w:rsid w:val="00800DFF"/>
    <w:rsid w:val="0080697C"/>
    <w:rsid w:val="00807151"/>
    <w:rsid w:val="00816037"/>
    <w:rsid w:val="00822157"/>
    <w:rsid w:val="00827642"/>
    <w:rsid w:val="00832EBF"/>
    <w:rsid w:val="00833310"/>
    <w:rsid w:val="0083415C"/>
    <w:rsid w:val="008455B2"/>
    <w:rsid w:val="00853790"/>
    <w:rsid w:val="00856096"/>
    <w:rsid w:val="008560DB"/>
    <w:rsid w:val="00860623"/>
    <w:rsid w:val="00862029"/>
    <w:rsid w:val="008640DF"/>
    <w:rsid w:val="00865399"/>
    <w:rsid w:val="00865F1D"/>
    <w:rsid w:val="0087634D"/>
    <w:rsid w:val="00885BFB"/>
    <w:rsid w:val="00885E17"/>
    <w:rsid w:val="0089311F"/>
    <w:rsid w:val="008932DF"/>
    <w:rsid w:val="00895683"/>
    <w:rsid w:val="00896187"/>
    <w:rsid w:val="008A0FA4"/>
    <w:rsid w:val="008A25D4"/>
    <w:rsid w:val="008B1EED"/>
    <w:rsid w:val="008B605C"/>
    <w:rsid w:val="008B6329"/>
    <w:rsid w:val="008B72C2"/>
    <w:rsid w:val="008B7AFF"/>
    <w:rsid w:val="008C0195"/>
    <w:rsid w:val="008C258F"/>
    <w:rsid w:val="008D2850"/>
    <w:rsid w:val="008D2DB5"/>
    <w:rsid w:val="008D2DC3"/>
    <w:rsid w:val="008E16EE"/>
    <w:rsid w:val="008E40BF"/>
    <w:rsid w:val="008E61E9"/>
    <w:rsid w:val="008E6B26"/>
    <w:rsid w:val="008F177E"/>
    <w:rsid w:val="008F3CD0"/>
    <w:rsid w:val="008F5A51"/>
    <w:rsid w:val="008F61F6"/>
    <w:rsid w:val="008F63A8"/>
    <w:rsid w:val="00904B5A"/>
    <w:rsid w:val="00904F36"/>
    <w:rsid w:val="0091684A"/>
    <w:rsid w:val="00920EC1"/>
    <w:rsid w:val="009267DD"/>
    <w:rsid w:val="0094244F"/>
    <w:rsid w:val="00943ED7"/>
    <w:rsid w:val="00950DE7"/>
    <w:rsid w:val="0095303F"/>
    <w:rsid w:val="009535E0"/>
    <w:rsid w:val="0095385A"/>
    <w:rsid w:val="00955320"/>
    <w:rsid w:val="009714B6"/>
    <w:rsid w:val="009715D2"/>
    <w:rsid w:val="00972E79"/>
    <w:rsid w:val="009743EA"/>
    <w:rsid w:val="009A12D0"/>
    <w:rsid w:val="009A50E9"/>
    <w:rsid w:val="009B03B7"/>
    <w:rsid w:val="009B34C6"/>
    <w:rsid w:val="009B3614"/>
    <w:rsid w:val="009C54C9"/>
    <w:rsid w:val="009D0F8C"/>
    <w:rsid w:val="009D2462"/>
    <w:rsid w:val="009D3E8C"/>
    <w:rsid w:val="009E122C"/>
    <w:rsid w:val="009F06AE"/>
    <w:rsid w:val="009F1890"/>
    <w:rsid w:val="009F1F6F"/>
    <w:rsid w:val="009F63FA"/>
    <w:rsid w:val="009F6522"/>
    <w:rsid w:val="00A05C53"/>
    <w:rsid w:val="00A07270"/>
    <w:rsid w:val="00A10EFE"/>
    <w:rsid w:val="00A13BC5"/>
    <w:rsid w:val="00A15F15"/>
    <w:rsid w:val="00A222A9"/>
    <w:rsid w:val="00A36B74"/>
    <w:rsid w:val="00A44E76"/>
    <w:rsid w:val="00A520D6"/>
    <w:rsid w:val="00A543F9"/>
    <w:rsid w:val="00A55F8C"/>
    <w:rsid w:val="00A5652C"/>
    <w:rsid w:val="00A82EB9"/>
    <w:rsid w:val="00A851E8"/>
    <w:rsid w:val="00A90675"/>
    <w:rsid w:val="00A930B9"/>
    <w:rsid w:val="00A97173"/>
    <w:rsid w:val="00AA1E3D"/>
    <w:rsid w:val="00AA2B8F"/>
    <w:rsid w:val="00AA609B"/>
    <w:rsid w:val="00AA7693"/>
    <w:rsid w:val="00AB4889"/>
    <w:rsid w:val="00AB5273"/>
    <w:rsid w:val="00AC3422"/>
    <w:rsid w:val="00AC7A9A"/>
    <w:rsid w:val="00AF3B82"/>
    <w:rsid w:val="00B20313"/>
    <w:rsid w:val="00B31C28"/>
    <w:rsid w:val="00B34E18"/>
    <w:rsid w:val="00B35BD7"/>
    <w:rsid w:val="00B3767A"/>
    <w:rsid w:val="00B3785C"/>
    <w:rsid w:val="00B40360"/>
    <w:rsid w:val="00B4230B"/>
    <w:rsid w:val="00B51F64"/>
    <w:rsid w:val="00B53B65"/>
    <w:rsid w:val="00B53F50"/>
    <w:rsid w:val="00B667A8"/>
    <w:rsid w:val="00B678FB"/>
    <w:rsid w:val="00B731BC"/>
    <w:rsid w:val="00B842E8"/>
    <w:rsid w:val="00B8552A"/>
    <w:rsid w:val="00B9176C"/>
    <w:rsid w:val="00B929D6"/>
    <w:rsid w:val="00B938AF"/>
    <w:rsid w:val="00B94F50"/>
    <w:rsid w:val="00BA4832"/>
    <w:rsid w:val="00BC2890"/>
    <w:rsid w:val="00BC711B"/>
    <w:rsid w:val="00BD67D9"/>
    <w:rsid w:val="00BE7A18"/>
    <w:rsid w:val="00BF1C41"/>
    <w:rsid w:val="00C005A8"/>
    <w:rsid w:val="00C02175"/>
    <w:rsid w:val="00C061C0"/>
    <w:rsid w:val="00C07482"/>
    <w:rsid w:val="00C1190A"/>
    <w:rsid w:val="00C119B1"/>
    <w:rsid w:val="00C1328B"/>
    <w:rsid w:val="00C139CD"/>
    <w:rsid w:val="00C27063"/>
    <w:rsid w:val="00C343DE"/>
    <w:rsid w:val="00C51937"/>
    <w:rsid w:val="00C56245"/>
    <w:rsid w:val="00C5687A"/>
    <w:rsid w:val="00C61B72"/>
    <w:rsid w:val="00C73DE2"/>
    <w:rsid w:val="00C85417"/>
    <w:rsid w:val="00C8610C"/>
    <w:rsid w:val="00C8629B"/>
    <w:rsid w:val="00C90715"/>
    <w:rsid w:val="00C908EA"/>
    <w:rsid w:val="00C9302B"/>
    <w:rsid w:val="00C93EED"/>
    <w:rsid w:val="00C95054"/>
    <w:rsid w:val="00C95F49"/>
    <w:rsid w:val="00CA204C"/>
    <w:rsid w:val="00CA31C7"/>
    <w:rsid w:val="00CA5096"/>
    <w:rsid w:val="00CA5197"/>
    <w:rsid w:val="00CC490B"/>
    <w:rsid w:val="00CD2EF9"/>
    <w:rsid w:val="00CD3DB1"/>
    <w:rsid w:val="00CD74F4"/>
    <w:rsid w:val="00CD7564"/>
    <w:rsid w:val="00CE1C72"/>
    <w:rsid w:val="00CE295A"/>
    <w:rsid w:val="00CE2A8E"/>
    <w:rsid w:val="00CE3E1E"/>
    <w:rsid w:val="00CE5B3E"/>
    <w:rsid w:val="00CE77F9"/>
    <w:rsid w:val="00CF27B4"/>
    <w:rsid w:val="00CF2AAB"/>
    <w:rsid w:val="00CF2CBA"/>
    <w:rsid w:val="00CF31C4"/>
    <w:rsid w:val="00CF6096"/>
    <w:rsid w:val="00D02EFA"/>
    <w:rsid w:val="00D04DCC"/>
    <w:rsid w:val="00D12011"/>
    <w:rsid w:val="00D14394"/>
    <w:rsid w:val="00D160B3"/>
    <w:rsid w:val="00D22FA1"/>
    <w:rsid w:val="00D23C85"/>
    <w:rsid w:val="00D24749"/>
    <w:rsid w:val="00D31A05"/>
    <w:rsid w:val="00D32490"/>
    <w:rsid w:val="00D4476F"/>
    <w:rsid w:val="00D44890"/>
    <w:rsid w:val="00D5292C"/>
    <w:rsid w:val="00D53290"/>
    <w:rsid w:val="00D55318"/>
    <w:rsid w:val="00D609BF"/>
    <w:rsid w:val="00D6276C"/>
    <w:rsid w:val="00D65367"/>
    <w:rsid w:val="00D67434"/>
    <w:rsid w:val="00D6783E"/>
    <w:rsid w:val="00D701CC"/>
    <w:rsid w:val="00D71315"/>
    <w:rsid w:val="00D7586E"/>
    <w:rsid w:val="00D758C5"/>
    <w:rsid w:val="00D811AB"/>
    <w:rsid w:val="00D8269A"/>
    <w:rsid w:val="00D839DC"/>
    <w:rsid w:val="00D86D7E"/>
    <w:rsid w:val="00D912B8"/>
    <w:rsid w:val="00D91B73"/>
    <w:rsid w:val="00D91C8A"/>
    <w:rsid w:val="00D95052"/>
    <w:rsid w:val="00D977ED"/>
    <w:rsid w:val="00DB35E5"/>
    <w:rsid w:val="00DC20A9"/>
    <w:rsid w:val="00DC3588"/>
    <w:rsid w:val="00DC7F92"/>
    <w:rsid w:val="00DD256F"/>
    <w:rsid w:val="00DE256E"/>
    <w:rsid w:val="00DE6399"/>
    <w:rsid w:val="00DF7CCF"/>
    <w:rsid w:val="00E0221E"/>
    <w:rsid w:val="00E03D10"/>
    <w:rsid w:val="00E058E6"/>
    <w:rsid w:val="00E062CB"/>
    <w:rsid w:val="00E07CAE"/>
    <w:rsid w:val="00E15B2F"/>
    <w:rsid w:val="00E238AB"/>
    <w:rsid w:val="00E26843"/>
    <w:rsid w:val="00E3405A"/>
    <w:rsid w:val="00E35048"/>
    <w:rsid w:val="00E3542E"/>
    <w:rsid w:val="00E358D0"/>
    <w:rsid w:val="00E40539"/>
    <w:rsid w:val="00E40ACB"/>
    <w:rsid w:val="00E507DB"/>
    <w:rsid w:val="00E66D1D"/>
    <w:rsid w:val="00E66EA9"/>
    <w:rsid w:val="00E77DCD"/>
    <w:rsid w:val="00E803D1"/>
    <w:rsid w:val="00E80D97"/>
    <w:rsid w:val="00E80DA2"/>
    <w:rsid w:val="00E83C95"/>
    <w:rsid w:val="00E903E0"/>
    <w:rsid w:val="00EA17CE"/>
    <w:rsid w:val="00EA1F01"/>
    <w:rsid w:val="00EA4B8F"/>
    <w:rsid w:val="00EB34A7"/>
    <w:rsid w:val="00EC1ECF"/>
    <w:rsid w:val="00EC4ADD"/>
    <w:rsid w:val="00EC7EBB"/>
    <w:rsid w:val="00ED372C"/>
    <w:rsid w:val="00ED391F"/>
    <w:rsid w:val="00ED3F69"/>
    <w:rsid w:val="00EE4079"/>
    <w:rsid w:val="00EE495D"/>
    <w:rsid w:val="00EE4A3A"/>
    <w:rsid w:val="00EE6409"/>
    <w:rsid w:val="00EF20EA"/>
    <w:rsid w:val="00EF3AA4"/>
    <w:rsid w:val="00F017A7"/>
    <w:rsid w:val="00F10606"/>
    <w:rsid w:val="00F15659"/>
    <w:rsid w:val="00F17E30"/>
    <w:rsid w:val="00F47A07"/>
    <w:rsid w:val="00F521A6"/>
    <w:rsid w:val="00F5361C"/>
    <w:rsid w:val="00F5457B"/>
    <w:rsid w:val="00F54A95"/>
    <w:rsid w:val="00F55EA6"/>
    <w:rsid w:val="00F61027"/>
    <w:rsid w:val="00F705A5"/>
    <w:rsid w:val="00F77AD6"/>
    <w:rsid w:val="00F82114"/>
    <w:rsid w:val="00F84CE8"/>
    <w:rsid w:val="00F87DA3"/>
    <w:rsid w:val="00F916FB"/>
    <w:rsid w:val="00F9178B"/>
    <w:rsid w:val="00F928C3"/>
    <w:rsid w:val="00F948FA"/>
    <w:rsid w:val="00FA21EC"/>
    <w:rsid w:val="00FA7E9E"/>
    <w:rsid w:val="00FC45D0"/>
    <w:rsid w:val="00FD1286"/>
    <w:rsid w:val="00FD1EC0"/>
    <w:rsid w:val="00FD31EF"/>
    <w:rsid w:val="00FD735E"/>
    <w:rsid w:val="00FE18EF"/>
    <w:rsid w:val="00FE39B0"/>
    <w:rsid w:val="00FE4635"/>
    <w:rsid w:val="00FF49F0"/>
    <w:rsid w:val="00FF657C"/>
    <w:rsid w:val="013ACE4D"/>
    <w:rsid w:val="01723EA2"/>
    <w:rsid w:val="01DCA320"/>
    <w:rsid w:val="0275B334"/>
    <w:rsid w:val="035A0541"/>
    <w:rsid w:val="06F5A1C7"/>
    <w:rsid w:val="082CC58C"/>
    <w:rsid w:val="09942E78"/>
    <w:rsid w:val="099A3667"/>
    <w:rsid w:val="0B75EF4A"/>
    <w:rsid w:val="0BEB44A9"/>
    <w:rsid w:val="0CD96716"/>
    <w:rsid w:val="0CE6155C"/>
    <w:rsid w:val="0D0A2F26"/>
    <w:rsid w:val="0D2126C4"/>
    <w:rsid w:val="1078AF36"/>
    <w:rsid w:val="10F76D37"/>
    <w:rsid w:val="11527612"/>
    <w:rsid w:val="122F7ABA"/>
    <w:rsid w:val="128DAD74"/>
    <w:rsid w:val="1399A2B6"/>
    <w:rsid w:val="13C95731"/>
    <w:rsid w:val="13E4B5B1"/>
    <w:rsid w:val="13E4C68A"/>
    <w:rsid w:val="13EA63FF"/>
    <w:rsid w:val="14587BB5"/>
    <w:rsid w:val="167FFF54"/>
    <w:rsid w:val="1754848B"/>
    <w:rsid w:val="18550EE6"/>
    <w:rsid w:val="1967F92C"/>
    <w:rsid w:val="1A8050D9"/>
    <w:rsid w:val="1AA5A2BC"/>
    <w:rsid w:val="1B1EA322"/>
    <w:rsid w:val="1C062EDF"/>
    <w:rsid w:val="1E5A0083"/>
    <w:rsid w:val="20D2ADBA"/>
    <w:rsid w:val="20D59738"/>
    <w:rsid w:val="21E3863C"/>
    <w:rsid w:val="22740616"/>
    <w:rsid w:val="239F1E80"/>
    <w:rsid w:val="23B63FC8"/>
    <w:rsid w:val="2512B1A1"/>
    <w:rsid w:val="25FC362B"/>
    <w:rsid w:val="2773EB67"/>
    <w:rsid w:val="27AF7FCF"/>
    <w:rsid w:val="281276E9"/>
    <w:rsid w:val="2933E1EA"/>
    <w:rsid w:val="2A454D1A"/>
    <w:rsid w:val="2B486E1A"/>
    <w:rsid w:val="2B500280"/>
    <w:rsid w:val="2BE0BA33"/>
    <w:rsid w:val="2C657C73"/>
    <w:rsid w:val="2D953A62"/>
    <w:rsid w:val="2F822727"/>
    <w:rsid w:val="301E7EFC"/>
    <w:rsid w:val="3027D448"/>
    <w:rsid w:val="311DB629"/>
    <w:rsid w:val="31BB4AE6"/>
    <w:rsid w:val="31EFA776"/>
    <w:rsid w:val="322D16F8"/>
    <w:rsid w:val="33BE7EDA"/>
    <w:rsid w:val="3426CC48"/>
    <w:rsid w:val="351ECF06"/>
    <w:rsid w:val="35B4F120"/>
    <w:rsid w:val="37377495"/>
    <w:rsid w:val="37603A5C"/>
    <w:rsid w:val="399DED68"/>
    <w:rsid w:val="3B7762AA"/>
    <w:rsid w:val="3BD01278"/>
    <w:rsid w:val="3D776D14"/>
    <w:rsid w:val="3EAFB210"/>
    <w:rsid w:val="3F38E2E8"/>
    <w:rsid w:val="3F755CA2"/>
    <w:rsid w:val="3F89D9AB"/>
    <w:rsid w:val="403C61FC"/>
    <w:rsid w:val="40582DA7"/>
    <w:rsid w:val="40862B44"/>
    <w:rsid w:val="418B7D74"/>
    <w:rsid w:val="448B0C09"/>
    <w:rsid w:val="47890822"/>
    <w:rsid w:val="49AA7437"/>
    <w:rsid w:val="4A47A890"/>
    <w:rsid w:val="4B051C67"/>
    <w:rsid w:val="4E6AE71C"/>
    <w:rsid w:val="5082D608"/>
    <w:rsid w:val="5295AFC1"/>
    <w:rsid w:val="52CCFD79"/>
    <w:rsid w:val="5353D02E"/>
    <w:rsid w:val="535B22CE"/>
    <w:rsid w:val="53A19E72"/>
    <w:rsid w:val="54649AC4"/>
    <w:rsid w:val="55B84625"/>
    <w:rsid w:val="5AB63A8F"/>
    <w:rsid w:val="5AFE7CE7"/>
    <w:rsid w:val="5B86CF84"/>
    <w:rsid w:val="5D5B1C6D"/>
    <w:rsid w:val="5E090F62"/>
    <w:rsid w:val="5F3FF48C"/>
    <w:rsid w:val="6022DB30"/>
    <w:rsid w:val="60ED2167"/>
    <w:rsid w:val="62888A62"/>
    <w:rsid w:val="64E49F10"/>
    <w:rsid w:val="66E9C72F"/>
    <w:rsid w:val="6713291D"/>
    <w:rsid w:val="67B2F44F"/>
    <w:rsid w:val="6A7B3782"/>
    <w:rsid w:val="6ADE3FDD"/>
    <w:rsid w:val="6BA38655"/>
    <w:rsid w:val="6BE25371"/>
    <w:rsid w:val="6D423596"/>
    <w:rsid w:val="6D8F45A0"/>
    <w:rsid w:val="6D96950E"/>
    <w:rsid w:val="6DBC0824"/>
    <w:rsid w:val="6E8C31D2"/>
    <w:rsid w:val="6EAE39EA"/>
    <w:rsid w:val="6EFB597D"/>
    <w:rsid w:val="6F9D003F"/>
    <w:rsid w:val="6FAA6447"/>
    <w:rsid w:val="6FD3A490"/>
    <w:rsid w:val="6FE88402"/>
    <w:rsid w:val="707FC8D2"/>
    <w:rsid w:val="70CFC86B"/>
    <w:rsid w:val="70E0A773"/>
    <w:rsid w:val="70E51747"/>
    <w:rsid w:val="726D9644"/>
    <w:rsid w:val="72D3C8C8"/>
    <w:rsid w:val="72D72311"/>
    <w:rsid w:val="73FC6392"/>
    <w:rsid w:val="751CB6DD"/>
    <w:rsid w:val="76F7E775"/>
    <w:rsid w:val="77CD3E5C"/>
    <w:rsid w:val="794FD6ED"/>
    <w:rsid w:val="795636D9"/>
    <w:rsid w:val="7BE6AD64"/>
    <w:rsid w:val="7BF7CD46"/>
    <w:rsid w:val="7D798C49"/>
    <w:rsid w:val="7EE54D00"/>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A9BD0"/>
  <w15:docId w15:val="{1C0F45D9-E99F-4472-B8DD-C6EB72D2C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C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en-US"/>
    </w:rPr>
  </w:style>
  <w:style w:type="paragraph" w:styleId="Heading1">
    <w:name w:val="heading 1"/>
    <w:basedOn w:val="Normal"/>
    <w:link w:val="Heading1Char"/>
    <w:uiPriority w:val="9"/>
    <w:qFormat/>
    <w:rsid w:val="00E11351"/>
    <w:pPr>
      <w:keepNext/>
      <w:keepLines/>
      <w:widowControl/>
      <w:spacing w:before="360" w:after="120"/>
      <w:outlineLvl w:val="0"/>
    </w:pPr>
    <w:rPr>
      <w:b/>
      <w:bCs/>
      <w:color w:val="365F91"/>
      <w:sz w:val="36"/>
      <w:szCs w:val="36"/>
    </w:rPr>
  </w:style>
  <w:style w:type="paragraph" w:styleId="Heading2">
    <w:name w:val="heading 2"/>
    <w:basedOn w:val="Normal"/>
    <w:link w:val="Heading2Char"/>
    <w:uiPriority w:val="9"/>
    <w:unhideWhenUsed/>
    <w:qFormat/>
    <w:rsid w:val="00E11351"/>
    <w:pPr>
      <w:keepNext/>
      <w:keepLines/>
      <w:widowControl/>
      <w:spacing w:before="240" w:after="120"/>
      <w:outlineLvl w:val="1"/>
    </w:pPr>
    <w:rPr>
      <w:color w:val="365F91"/>
      <w:sz w:val="32"/>
      <w:szCs w:val="32"/>
    </w:rPr>
  </w:style>
  <w:style w:type="paragraph" w:styleId="Heading3">
    <w:name w:val="heading 3"/>
    <w:basedOn w:val="Normal"/>
    <w:link w:val="Heading3Char"/>
    <w:uiPriority w:val="9"/>
    <w:unhideWhenUsed/>
    <w:qFormat/>
    <w:rsid w:val="00E11351"/>
    <w:pPr>
      <w:keepNext/>
      <w:keepLines/>
      <w:widowControl/>
      <w:numPr>
        <w:numId w:val="3"/>
      </w:numPr>
      <w:spacing w:before="40" w:line="259" w:lineRule="auto"/>
      <w:outlineLvl w:val="2"/>
    </w:pPr>
    <w:rPr>
      <w:rFonts w:ascii="Calibri" w:eastAsia="Calibri" w:hAnsi="Calibri" w:cs="Calibri"/>
      <w:bCs/>
      <w:color w:val="1AA2DB"/>
      <w:sz w:val="28"/>
      <w:szCs w:val="20"/>
    </w:rPr>
  </w:style>
  <w:style w:type="paragraph" w:styleId="Heading4">
    <w:name w:val="heading 4"/>
    <w:basedOn w:val="Heading3"/>
    <w:next w:val="Normal"/>
    <w:link w:val="Heading4Char"/>
    <w:uiPriority w:val="9"/>
    <w:unhideWhenUsed/>
    <w:qFormat/>
    <w:rsid w:val="00E11351"/>
    <w:pPr>
      <w:numPr>
        <w:ilvl w:val="2"/>
      </w:numPr>
      <w:ind w:left="1440" w:firstLine="180"/>
      <w:outlineLvl w:val="3"/>
    </w:pPr>
    <w:rPr>
      <w:sz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3C08"/>
    <w:pPr>
      <w:contextualSpacing/>
      <w:jc w:val="center"/>
    </w:pPr>
    <w:rPr>
      <w:rFonts w:eastAsiaTheme="majorEastAsia" w:cstheme="majorBidi"/>
      <w:spacing w:val="-10"/>
      <w:kern w:val="28"/>
      <w:sz w:val="56"/>
      <w:szCs w:val="56"/>
    </w:rPr>
  </w:style>
  <w:style w:type="paragraph" w:styleId="BodyText">
    <w:name w:val="Body Text"/>
    <w:aliases w:val="Main Topic Body Text"/>
    <w:basedOn w:val="Normal"/>
    <w:link w:val="BodyTextChar"/>
    <w:uiPriority w:val="1"/>
    <w:qFormat/>
    <w:rsid w:val="009E778C"/>
    <w:pPr>
      <w:jc w:val="both"/>
    </w:pPr>
    <w:rPr>
      <w:sz w:val="24"/>
    </w:rPr>
  </w:style>
  <w:style w:type="paragraph" w:styleId="ListParagraph">
    <w:name w:val="List Paragraph"/>
    <w:basedOn w:val="Normal"/>
    <w:uiPriority w:val="34"/>
    <w:qFormat/>
    <w:pPr>
      <w:spacing w:before="189"/>
      <w:ind w:left="220" w:hanging="254"/>
    </w:pPr>
  </w:style>
  <w:style w:type="paragraph" w:customStyle="1" w:styleId="TableParagraph">
    <w:name w:val="Table Paragraph"/>
    <w:basedOn w:val="Normal"/>
    <w:uiPriority w:val="1"/>
    <w:qFormat/>
  </w:style>
  <w:style w:type="paragraph" w:styleId="TOCHeading">
    <w:name w:val="TOC Heading"/>
    <w:basedOn w:val="Heading1"/>
    <w:next w:val="Normal"/>
    <w:uiPriority w:val="39"/>
    <w:unhideWhenUsed/>
    <w:qFormat/>
    <w:rsid w:val="0022518D"/>
    <w:pPr>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OC1">
    <w:name w:val="toc 1"/>
    <w:basedOn w:val="Normal"/>
    <w:next w:val="Normal"/>
    <w:autoRedefine/>
    <w:uiPriority w:val="39"/>
    <w:unhideWhenUsed/>
    <w:rsid w:val="0022518D"/>
    <w:pPr>
      <w:spacing w:after="100"/>
    </w:pPr>
  </w:style>
  <w:style w:type="paragraph" w:styleId="TOC2">
    <w:name w:val="toc 2"/>
    <w:basedOn w:val="Normal"/>
    <w:next w:val="Normal"/>
    <w:autoRedefine/>
    <w:uiPriority w:val="39"/>
    <w:unhideWhenUsed/>
    <w:rsid w:val="0022518D"/>
    <w:pPr>
      <w:spacing w:after="100"/>
      <w:ind w:left="220"/>
    </w:pPr>
  </w:style>
  <w:style w:type="paragraph" w:styleId="TOC3">
    <w:name w:val="toc 3"/>
    <w:basedOn w:val="Normal"/>
    <w:next w:val="Normal"/>
    <w:autoRedefine/>
    <w:uiPriority w:val="39"/>
    <w:unhideWhenUsed/>
    <w:rsid w:val="0022518D"/>
    <w:pPr>
      <w:spacing w:after="100"/>
      <w:ind w:left="440"/>
    </w:pPr>
  </w:style>
  <w:style w:type="character" w:styleId="Hyperlink">
    <w:name w:val="Hyperlink"/>
    <w:basedOn w:val="DefaultParagraphFont"/>
    <w:uiPriority w:val="99"/>
    <w:unhideWhenUsed/>
    <w:rsid w:val="0022518D"/>
    <w:rPr>
      <w:color w:val="0000FF" w:themeColor="hyperlink"/>
      <w:u w:val="single"/>
    </w:rPr>
  </w:style>
  <w:style w:type="paragraph" w:styleId="Header">
    <w:name w:val="header"/>
    <w:basedOn w:val="Normal"/>
    <w:link w:val="HeaderChar"/>
    <w:uiPriority w:val="99"/>
    <w:unhideWhenUsed/>
    <w:rsid w:val="00FE7B91"/>
    <w:pPr>
      <w:tabs>
        <w:tab w:val="center" w:pos="4680"/>
        <w:tab w:val="right" w:pos="9360"/>
      </w:tabs>
    </w:pPr>
  </w:style>
  <w:style w:type="character" w:customStyle="1" w:styleId="HeaderChar">
    <w:name w:val="Header Char"/>
    <w:basedOn w:val="DefaultParagraphFont"/>
    <w:link w:val="Header"/>
    <w:uiPriority w:val="99"/>
    <w:rsid w:val="00FE7B91"/>
    <w:rPr>
      <w:rFonts w:ascii="Times New Roman" w:eastAsia="Times New Roman" w:hAnsi="Times New Roman" w:cs="Times New Roman"/>
      <w:lang w:bidi="en-US"/>
    </w:rPr>
  </w:style>
  <w:style w:type="paragraph" w:styleId="Footer">
    <w:name w:val="footer"/>
    <w:basedOn w:val="Normal"/>
    <w:link w:val="FooterChar"/>
    <w:uiPriority w:val="99"/>
    <w:unhideWhenUsed/>
    <w:rsid w:val="00FE7B91"/>
    <w:pPr>
      <w:tabs>
        <w:tab w:val="center" w:pos="4680"/>
        <w:tab w:val="right" w:pos="9360"/>
      </w:tabs>
    </w:pPr>
  </w:style>
  <w:style w:type="character" w:customStyle="1" w:styleId="FooterChar">
    <w:name w:val="Footer Char"/>
    <w:basedOn w:val="DefaultParagraphFont"/>
    <w:link w:val="Footer"/>
    <w:uiPriority w:val="99"/>
    <w:rsid w:val="00FE7B91"/>
    <w:rPr>
      <w:rFonts w:ascii="Times New Roman" w:eastAsia="Times New Roman" w:hAnsi="Times New Roman" w:cs="Times New Roman"/>
      <w:lang w:bidi="en-US"/>
    </w:rPr>
  </w:style>
  <w:style w:type="character" w:customStyle="1" w:styleId="Heading4Char">
    <w:name w:val="Heading 4 Char"/>
    <w:basedOn w:val="DefaultParagraphFont"/>
    <w:link w:val="Heading4"/>
    <w:uiPriority w:val="9"/>
    <w:rsid w:val="00E11351"/>
    <w:rPr>
      <w:rFonts w:ascii="Calibri" w:eastAsia="Calibri" w:hAnsi="Calibri" w:cs="Calibri"/>
      <w:b/>
      <w:bCs/>
      <w:color w:val="1AA2DB"/>
      <w:sz w:val="24"/>
      <w:szCs w:val="20"/>
      <w:lang w:bidi="en-US"/>
    </w:rPr>
  </w:style>
  <w:style w:type="paragraph" w:styleId="BalloonText">
    <w:name w:val="Balloon Text"/>
    <w:basedOn w:val="Normal"/>
    <w:link w:val="BalloonTextChar"/>
    <w:uiPriority w:val="99"/>
    <w:semiHidden/>
    <w:unhideWhenUsed/>
    <w:rsid w:val="00F270F3"/>
    <w:pPr>
      <w:widowControl/>
    </w:pPr>
    <w:rPr>
      <w:rFonts w:ascii="Segoe UI" w:eastAsiaTheme="minorHAnsi" w:hAnsi="Segoe UI" w:cs="Segoe UI"/>
      <w:sz w:val="18"/>
      <w:szCs w:val="18"/>
      <w:lang w:val="en-CA" w:bidi="ar-SA"/>
    </w:rPr>
  </w:style>
  <w:style w:type="character" w:customStyle="1" w:styleId="BalloonTextChar">
    <w:name w:val="Balloon Text Char"/>
    <w:basedOn w:val="DefaultParagraphFont"/>
    <w:link w:val="BalloonText"/>
    <w:uiPriority w:val="99"/>
    <w:semiHidden/>
    <w:rsid w:val="00F270F3"/>
    <w:rPr>
      <w:rFonts w:ascii="Segoe UI" w:hAnsi="Segoe UI" w:cs="Segoe UI"/>
      <w:sz w:val="18"/>
      <w:szCs w:val="18"/>
      <w:lang w:val="en-CA"/>
    </w:rPr>
  </w:style>
  <w:style w:type="character" w:styleId="CommentReference">
    <w:name w:val="annotation reference"/>
    <w:uiPriority w:val="99"/>
    <w:semiHidden/>
    <w:unhideWhenUsed/>
    <w:rsid w:val="00F270F3"/>
    <w:rPr>
      <w:sz w:val="16"/>
      <w:szCs w:val="16"/>
    </w:rPr>
  </w:style>
  <w:style w:type="paragraph" w:styleId="CommentText">
    <w:name w:val="annotation text"/>
    <w:basedOn w:val="Normal"/>
    <w:link w:val="CommentTextChar"/>
    <w:uiPriority w:val="99"/>
    <w:unhideWhenUsed/>
    <w:rsid w:val="00F270F3"/>
    <w:pPr>
      <w:widowControl/>
      <w:spacing w:after="200" w:line="276" w:lineRule="auto"/>
    </w:pPr>
    <w:rPr>
      <w:rFonts w:ascii="Calibri" w:eastAsia="Calibri" w:hAnsi="Calibri"/>
      <w:sz w:val="20"/>
      <w:szCs w:val="20"/>
      <w:lang w:val="en-CA" w:bidi="ar-SA"/>
    </w:rPr>
  </w:style>
  <w:style w:type="character" w:customStyle="1" w:styleId="CommentTextChar">
    <w:name w:val="Comment Text Char"/>
    <w:basedOn w:val="DefaultParagraphFont"/>
    <w:link w:val="CommentText"/>
    <w:uiPriority w:val="99"/>
    <w:rsid w:val="00F270F3"/>
    <w:rPr>
      <w:rFonts w:ascii="Calibri" w:eastAsia="Calibri" w:hAnsi="Calibri" w:cs="Times New Roman"/>
      <w:sz w:val="20"/>
      <w:szCs w:val="20"/>
      <w:lang w:val="en-CA"/>
    </w:rPr>
  </w:style>
  <w:style w:type="paragraph" w:styleId="CommentSubject">
    <w:name w:val="annotation subject"/>
    <w:basedOn w:val="CommentText"/>
    <w:next w:val="CommentText"/>
    <w:link w:val="CommentSubjectChar"/>
    <w:uiPriority w:val="99"/>
    <w:semiHidden/>
    <w:unhideWhenUsed/>
    <w:rsid w:val="00F270F3"/>
    <w:pPr>
      <w:spacing w:after="160"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270F3"/>
    <w:rPr>
      <w:rFonts w:ascii="Calibri" w:eastAsia="Calibri" w:hAnsi="Calibri" w:cs="Times New Roman"/>
      <w:b/>
      <w:bCs/>
      <w:sz w:val="20"/>
      <w:szCs w:val="20"/>
      <w:lang w:val="en-CA"/>
    </w:rPr>
  </w:style>
  <w:style w:type="paragraph" w:styleId="Revision">
    <w:name w:val="Revision"/>
    <w:hidden/>
    <w:uiPriority w:val="99"/>
    <w:semiHidden/>
    <w:rsid w:val="00F270F3"/>
    <w:pPr>
      <w:widowControl/>
    </w:pPr>
    <w:rPr>
      <w:lang w:val="en-CA"/>
    </w:rPr>
  </w:style>
  <w:style w:type="character" w:customStyle="1" w:styleId="Heading1Char">
    <w:name w:val="Heading 1 Char"/>
    <w:basedOn w:val="DefaultParagraphFont"/>
    <w:link w:val="Heading1"/>
    <w:uiPriority w:val="9"/>
    <w:rsid w:val="00E11351"/>
    <w:rPr>
      <w:rFonts w:ascii="Calibri" w:eastAsia="Calibri" w:hAnsi="Calibri" w:cs="Calibri"/>
      <w:b/>
      <w:bCs/>
      <w:color w:val="1AA2DB"/>
      <w:sz w:val="36"/>
      <w:szCs w:val="36"/>
      <w:lang w:bidi="en-US"/>
    </w:rPr>
  </w:style>
  <w:style w:type="character" w:customStyle="1" w:styleId="Heading2Char">
    <w:name w:val="Heading 2 Char"/>
    <w:basedOn w:val="DefaultParagraphFont"/>
    <w:link w:val="Heading2"/>
    <w:uiPriority w:val="9"/>
    <w:rsid w:val="00E11351"/>
    <w:rPr>
      <w:rFonts w:eastAsia="Times New Roman" w:cstheme="minorHAnsi"/>
      <w:color w:val="1AA2DB"/>
      <w:sz w:val="32"/>
      <w:szCs w:val="30"/>
      <w:lang w:bidi="en-US"/>
    </w:rPr>
  </w:style>
  <w:style w:type="character" w:styleId="FollowedHyperlink">
    <w:name w:val="FollowedHyperlink"/>
    <w:basedOn w:val="DefaultParagraphFont"/>
    <w:uiPriority w:val="99"/>
    <w:semiHidden/>
    <w:unhideWhenUsed/>
    <w:rsid w:val="00F270F3"/>
    <w:rPr>
      <w:color w:val="800080" w:themeColor="followedHyperlink"/>
      <w:u w:val="single"/>
    </w:rPr>
  </w:style>
  <w:style w:type="character" w:customStyle="1" w:styleId="Heading3Char">
    <w:name w:val="Heading 3 Char"/>
    <w:basedOn w:val="DefaultParagraphFont"/>
    <w:link w:val="Heading3"/>
    <w:uiPriority w:val="9"/>
    <w:rsid w:val="00E11351"/>
    <w:rPr>
      <w:rFonts w:ascii="Calibri" w:eastAsia="Calibri" w:hAnsi="Calibri" w:cs="Calibri"/>
      <w:bCs/>
      <w:color w:val="1AA2DB"/>
      <w:sz w:val="28"/>
      <w:szCs w:val="20"/>
      <w:lang w:bidi="en-US"/>
    </w:rPr>
  </w:style>
  <w:style w:type="paragraph" w:styleId="Subtitle">
    <w:name w:val="Subtitle"/>
    <w:aliases w:val="Author(s)"/>
    <w:basedOn w:val="Normal"/>
    <w:next w:val="Normal"/>
    <w:link w:val="SubtitleChar"/>
    <w:uiPriority w:val="11"/>
    <w:qFormat/>
    <w:pPr>
      <w:jc w:val="center"/>
    </w:pPr>
    <w:rPr>
      <w:rFonts w:ascii="Calibri" w:eastAsia="Calibri" w:hAnsi="Calibri" w:cs="Calibri"/>
      <w:sz w:val="32"/>
      <w:szCs w:val="32"/>
    </w:rPr>
  </w:style>
  <w:style w:type="character" w:customStyle="1" w:styleId="SubtitleChar">
    <w:name w:val="Subtitle Char"/>
    <w:aliases w:val="Author(s) Char"/>
    <w:basedOn w:val="DefaultParagraphFont"/>
    <w:link w:val="Subtitle"/>
    <w:uiPriority w:val="11"/>
    <w:rsid w:val="001D3C08"/>
    <w:rPr>
      <w:rFonts w:eastAsia="Times New Roman" w:cs="Times New Roman"/>
      <w:sz w:val="32"/>
      <w:lang w:bidi="en-US"/>
    </w:rPr>
  </w:style>
  <w:style w:type="paragraph" w:customStyle="1" w:styleId="Subtopicbodytext">
    <w:name w:val="Subtopic body text"/>
    <w:basedOn w:val="BodyText"/>
    <w:link w:val="SubtopicbodytextChar"/>
    <w:uiPriority w:val="1"/>
    <w:qFormat/>
    <w:rsid w:val="007071AC"/>
    <w:pPr>
      <w:ind w:left="1080"/>
    </w:pPr>
  </w:style>
  <w:style w:type="paragraph" w:customStyle="1" w:styleId="Subcategorybodytext">
    <w:name w:val="Subcategory body text"/>
    <w:basedOn w:val="BodyText"/>
    <w:link w:val="SubcategorybodytextChar"/>
    <w:uiPriority w:val="1"/>
    <w:qFormat/>
    <w:rsid w:val="007071AC"/>
    <w:pPr>
      <w:ind w:left="1440"/>
    </w:pPr>
  </w:style>
  <w:style w:type="character" w:customStyle="1" w:styleId="BodyTextChar">
    <w:name w:val="Body Text Char"/>
    <w:aliases w:val="Main Topic Body Text Char"/>
    <w:basedOn w:val="DefaultParagraphFont"/>
    <w:link w:val="BodyText"/>
    <w:uiPriority w:val="1"/>
    <w:rsid w:val="007071AC"/>
    <w:rPr>
      <w:rFonts w:ascii="Times New Roman" w:eastAsia="Times New Roman" w:hAnsi="Times New Roman" w:cs="Times New Roman"/>
      <w:sz w:val="24"/>
      <w:lang w:bidi="en-US"/>
    </w:rPr>
  </w:style>
  <w:style w:type="character" w:customStyle="1" w:styleId="SubtopicbodytextChar">
    <w:name w:val="Subtopic body text Char"/>
    <w:basedOn w:val="BodyTextChar"/>
    <w:link w:val="Subtopicbodytext"/>
    <w:uiPriority w:val="1"/>
    <w:rsid w:val="007071AC"/>
    <w:rPr>
      <w:rFonts w:ascii="Times New Roman" w:eastAsia="Times New Roman" w:hAnsi="Times New Roman" w:cs="Times New Roman"/>
      <w:sz w:val="24"/>
      <w:lang w:bidi="en-US"/>
    </w:rPr>
  </w:style>
  <w:style w:type="paragraph" w:customStyle="1" w:styleId="Notesbodytext">
    <w:name w:val="Notes body text"/>
    <w:basedOn w:val="BodyText"/>
    <w:link w:val="NotesbodytextChar"/>
    <w:uiPriority w:val="1"/>
    <w:qFormat/>
    <w:rsid w:val="007071AC"/>
    <w:pPr>
      <w:ind w:left="1800"/>
    </w:pPr>
  </w:style>
  <w:style w:type="character" w:customStyle="1" w:styleId="SubcategorybodytextChar">
    <w:name w:val="Subcategory body text Char"/>
    <w:basedOn w:val="BodyTextChar"/>
    <w:link w:val="Subcategorybodytext"/>
    <w:uiPriority w:val="1"/>
    <w:rsid w:val="007071AC"/>
    <w:rPr>
      <w:rFonts w:ascii="Times New Roman" w:eastAsia="Times New Roman" w:hAnsi="Times New Roman" w:cs="Times New Roman"/>
      <w:sz w:val="24"/>
      <w:lang w:bidi="en-US"/>
    </w:rPr>
  </w:style>
  <w:style w:type="paragraph" w:customStyle="1" w:styleId="Bulletlist">
    <w:name w:val="Bullet list"/>
    <w:basedOn w:val="BodyText"/>
    <w:link w:val="BulletlistChar"/>
    <w:uiPriority w:val="1"/>
    <w:qFormat/>
    <w:rsid w:val="002A30B7"/>
    <w:pPr>
      <w:tabs>
        <w:tab w:val="num" w:pos="720"/>
      </w:tabs>
      <w:ind w:left="720" w:hanging="720"/>
    </w:pPr>
  </w:style>
  <w:style w:type="character" w:customStyle="1" w:styleId="NotesbodytextChar">
    <w:name w:val="Notes body text Char"/>
    <w:basedOn w:val="BodyTextChar"/>
    <w:link w:val="Notesbodytext"/>
    <w:uiPriority w:val="1"/>
    <w:rsid w:val="007071AC"/>
    <w:rPr>
      <w:rFonts w:ascii="Times New Roman" w:eastAsia="Times New Roman" w:hAnsi="Times New Roman" w:cs="Times New Roman"/>
      <w:sz w:val="24"/>
      <w:lang w:bidi="en-US"/>
    </w:rPr>
  </w:style>
  <w:style w:type="paragraph" w:customStyle="1" w:styleId="Reference">
    <w:name w:val="Reference"/>
    <w:basedOn w:val="Normal"/>
    <w:link w:val="ReferenceChar"/>
    <w:uiPriority w:val="1"/>
    <w:qFormat/>
    <w:rsid w:val="00550C19"/>
    <w:pPr>
      <w:adjustRightInd w:val="0"/>
      <w:spacing w:after="120"/>
      <w:ind w:left="720" w:hanging="720"/>
      <w:jc w:val="both"/>
    </w:pPr>
    <w:rPr>
      <w:color w:val="000000"/>
      <w:sz w:val="24"/>
      <w:szCs w:val="24"/>
    </w:rPr>
  </w:style>
  <w:style w:type="character" w:customStyle="1" w:styleId="BulletlistChar">
    <w:name w:val="Bullet list Char"/>
    <w:basedOn w:val="BodyTextChar"/>
    <w:link w:val="Bulletlist"/>
    <w:uiPriority w:val="1"/>
    <w:rsid w:val="002A30B7"/>
    <w:rPr>
      <w:rFonts w:ascii="Times New Roman" w:eastAsia="Times New Roman" w:hAnsi="Times New Roman" w:cs="Times New Roman"/>
      <w:sz w:val="24"/>
      <w:lang w:bidi="en-US"/>
    </w:rPr>
  </w:style>
  <w:style w:type="paragraph" w:styleId="NoSpacing">
    <w:name w:val="No Spacing"/>
    <w:link w:val="NoSpacingChar"/>
    <w:uiPriority w:val="1"/>
    <w:qFormat/>
    <w:rsid w:val="003C41EC"/>
    <w:pPr>
      <w:widowControl/>
    </w:pPr>
    <w:rPr>
      <w:rFonts w:eastAsiaTheme="minorEastAsia"/>
    </w:rPr>
  </w:style>
  <w:style w:type="character" w:customStyle="1" w:styleId="ReferenceChar">
    <w:name w:val="Reference Char"/>
    <w:basedOn w:val="DefaultParagraphFont"/>
    <w:link w:val="Reference"/>
    <w:uiPriority w:val="1"/>
    <w:rsid w:val="00550C19"/>
    <w:rPr>
      <w:rFonts w:ascii="Times New Roman" w:eastAsia="Times New Roman" w:hAnsi="Times New Roman" w:cs="Times New Roman"/>
      <w:color w:val="000000"/>
      <w:sz w:val="24"/>
      <w:szCs w:val="24"/>
      <w:lang w:bidi="en-US"/>
    </w:rPr>
  </w:style>
  <w:style w:type="character" w:customStyle="1" w:styleId="NoSpacingChar">
    <w:name w:val="No Spacing Char"/>
    <w:basedOn w:val="DefaultParagraphFont"/>
    <w:link w:val="NoSpacing"/>
    <w:uiPriority w:val="1"/>
    <w:rsid w:val="003C41EC"/>
    <w:rPr>
      <w:rFonts w:eastAsiaTheme="minorEastAsia"/>
    </w:rPr>
  </w:style>
  <w:style w:type="character" w:customStyle="1" w:styleId="TitleChar">
    <w:name w:val="Title Char"/>
    <w:basedOn w:val="DefaultParagraphFont"/>
    <w:link w:val="Title"/>
    <w:uiPriority w:val="10"/>
    <w:rsid w:val="001D3C08"/>
    <w:rPr>
      <w:rFonts w:ascii="Times New Roman" w:eastAsiaTheme="majorEastAsia" w:hAnsi="Times New Roman" w:cstheme="majorBidi"/>
      <w:spacing w:val="-10"/>
      <w:kern w:val="28"/>
      <w:sz w:val="56"/>
      <w:szCs w:val="56"/>
      <w:lang w:bidi="en-US"/>
    </w:rPr>
  </w:style>
  <w:style w:type="character" w:styleId="Strong">
    <w:name w:val="Strong"/>
    <w:basedOn w:val="DefaultParagraphFont"/>
    <w:uiPriority w:val="22"/>
    <w:qFormat/>
    <w:rsid w:val="003D47F5"/>
    <w:rPr>
      <w:b/>
      <w:bCs/>
    </w:rPr>
  </w:style>
  <w:style w:type="character" w:styleId="SubtleReference">
    <w:name w:val="Subtle Reference"/>
    <w:basedOn w:val="DefaultParagraphFont"/>
    <w:uiPriority w:val="31"/>
    <w:qFormat/>
    <w:rsid w:val="003D47F5"/>
    <w:rPr>
      <w:smallCaps/>
      <w:color w:val="5A5A5A" w:themeColor="text1" w:themeTint="A5"/>
    </w:rPr>
  </w:style>
  <w:style w:type="character" w:styleId="SubtleEmphasis">
    <w:name w:val="Subtle Emphasis"/>
    <w:aliases w:val="Header &amp; Footer text"/>
    <w:basedOn w:val="DefaultParagraphFont"/>
    <w:uiPriority w:val="19"/>
    <w:qFormat/>
    <w:rsid w:val="003D3259"/>
    <w:rPr>
      <w:rFonts w:asciiTheme="minorHAnsi" w:hAnsiTheme="minorHAnsi" w:cstheme="minorHAnsi"/>
      <w:iCs/>
      <w:color w:val="404040" w:themeColor="text1" w:themeTint="BF"/>
      <w:sz w:val="20"/>
    </w:rPr>
  </w:style>
  <w:style w:type="paragraph" w:customStyle="1" w:styleId="DateStamp">
    <w:name w:val="Date Stamp"/>
    <w:basedOn w:val="Title"/>
    <w:link w:val="DateStampChar"/>
    <w:uiPriority w:val="1"/>
    <w:qFormat/>
    <w:rsid w:val="004028A3"/>
    <w:rPr>
      <w:rFonts w:asciiTheme="minorHAnsi" w:hAnsiTheme="minorHAnsi"/>
      <w:sz w:val="24"/>
    </w:rPr>
  </w:style>
  <w:style w:type="character" w:styleId="IntenseEmphasis">
    <w:name w:val="Intense Emphasis"/>
    <w:basedOn w:val="DefaultParagraphFont"/>
    <w:uiPriority w:val="21"/>
    <w:qFormat/>
    <w:rsid w:val="00187959"/>
    <w:rPr>
      <w:iCs/>
      <w:color w:val="3FA8F4"/>
      <w:sz w:val="22"/>
    </w:rPr>
  </w:style>
  <w:style w:type="character" w:customStyle="1" w:styleId="DateStampChar">
    <w:name w:val="Date Stamp Char"/>
    <w:basedOn w:val="TitleChar"/>
    <w:link w:val="DateStamp"/>
    <w:uiPriority w:val="1"/>
    <w:rsid w:val="004028A3"/>
    <w:rPr>
      <w:rFonts w:ascii="Times New Roman" w:eastAsiaTheme="majorEastAsia" w:hAnsi="Times New Roman" w:cstheme="majorBidi"/>
      <w:spacing w:val="-10"/>
      <w:kern w:val="28"/>
      <w:sz w:val="24"/>
      <w:szCs w:val="56"/>
      <w:lang w:bidi="en-US"/>
    </w:rPr>
  </w:style>
  <w:style w:type="character" w:customStyle="1" w:styleId="UnresolvedMention1">
    <w:name w:val="Unresolved Mention1"/>
    <w:basedOn w:val="DefaultParagraphFont"/>
    <w:uiPriority w:val="99"/>
    <w:semiHidden/>
    <w:unhideWhenUsed/>
    <w:rsid w:val="00A95283"/>
    <w:rPr>
      <w:color w:val="605E5C"/>
      <w:shd w:val="clear" w:color="auto" w:fill="E1DFDD"/>
    </w:rPr>
  </w:style>
  <w:style w:type="paragraph" w:styleId="TOC4">
    <w:name w:val="toc 4"/>
    <w:basedOn w:val="Normal"/>
    <w:next w:val="Normal"/>
    <w:autoRedefine/>
    <w:uiPriority w:val="39"/>
    <w:unhideWhenUsed/>
    <w:rsid w:val="00DB732C"/>
    <w:pPr>
      <w:spacing w:after="100"/>
      <w:ind w:left="660"/>
    </w:pPr>
  </w:style>
  <w:style w:type="paragraph" w:customStyle="1" w:styleId="xxelementtoproof">
    <w:name w:val="x_xelementtoproof"/>
    <w:basedOn w:val="Normal"/>
    <w:rsid w:val="00B35BD7"/>
    <w:pPr>
      <w:widowControl/>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59537">
      <w:bodyDiv w:val="1"/>
      <w:marLeft w:val="0"/>
      <w:marRight w:val="0"/>
      <w:marTop w:val="0"/>
      <w:marBottom w:val="0"/>
      <w:divBdr>
        <w:top w:val="none" w:sz="0" w:space="0" w:color="auto"/>
        <w:left w:val="none" w:sz="0" w:space="0" w:color="auto"/>
        <w:bottom w:val="none" w:sz="0" w:space="0" w:color="auto"/>
        <w:right w:val="none" w:sz="0" w:space="0" w:color="auto"/>
      </w:divBdr>
    </w:div>
    <w:div w:id="1085806736">
      <w:bodyDiv w:val="1"/>
      <w:marLeft w:val="0"/>
      <w:marRight w:val="0"/>
      <w:marTop w:val="0"/>
      <w:marBottom w:val="0"/>
      <w:divBdr>
        <w:top w:val="none" w:sz="0" w:space="0" w:color="auto"/>
        <w:left w:val="none" w:sz="0" w:space="0" w:color="auto"/>
        <w:bottom w:val="none" w:sz="0" w:space="0" w:color="auto"/>
        <w:right w:val="none" w:sz="0" w:space="0" w:color="auto"/>
      </w:divBdr>
    </w:div>
    <w:div w:id="1223759576">
      <w:bodyDiv w:val="1"/>
      <w:marLeft w:val="0"/>
      <w:marRight w:val="0"/>
      <w:marTop w:val="0"/>
      <w:marBottom w:val="0"/>
      <w:divBdr>
        <w:top w:val="none" w:sz="0" w:space="0" w:color="auto"/>
        <w:left w:val="none" w:sz="0" w:space="0" w:color="auto"/>
        <w:bottom w:val="none" w:sz="0" w:space="0" w:color="auto"/>
        <w:right w:val="none" w:sz="0" w:space="0" w:color="auto"/>
      </w:divBdr>
    </w:div>
    <w:div w:id="1407679604">
      <w:bodyDiv w:val="1"/>
      <w:marLeft w:val="0"/>
      <w:marRight w:val="0"/>
      <w:marTop w:val="0"/>
      <w:marBottom w:val="0"/>
      <w:divBdr>
        <w:top w:val="none" w:sz="0" w:space="0" w:color="auto"/>
        <w:left w:val="none" w:sz="0" w:space="0" w:color="auto"/>
        <w:bottom w:val="none" w:sz="0" w:space="0" w:color="auto"/>
        <w:right w:val="none" w:sz="0" w:space="0" w:color="auto"/>
      </w:divBdr>
    </w:div>
    <w:div w:id="1555772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rmr.cim.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im.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FB43C75C2D7224C97712ABE23C38611" ma:contentTypeVersion="4" ma:contentTypeDescription="Create a new document." ma:contentTypeScope="" ma:versionID="12fe83e5b937880d2349561ac843062a">
  <xsd:schema xmlns:xsd="http://www.w3.org/2001/XMLSchema" xmlns:xs="http://www.w3.org/2001/XMLSchema" xmlns:p="http://schemas.microsoft.com/office/2006/metadata/properties" xmlns:ns2="55c0b4f9-baf5-4ab5-ac05-2c0ad38bdaed" targetNamespace="http://schemas.microsoft.com/office/2006/metadata/properties" ma:root="true" ma:fieldsID="24822cbf7d93560f6d53bf5a4ac570e9" ns2:_="">
    <xsd:import namespace="55c0b4f9-baf5-4ab5-ac05-2c0ad38bd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0b4f9-baf5-4ab5-ac05-2c0ad38bda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A95B2F-4C25-4DF7-9CDF-4B2530139A75}">
  <ds:schemaRefs>
    <ds:schemaRef ds:uri="http://schemas.openxmlformats.org/officeDocument/2006/bibliography"/>
  </ds:schemaRefs>
</ds:datastoreItem>
</file>

<file path=customXml/itemProps2.xml><?xml version="1.0" encoding="utf-8"?>
<ds:datastoreItem xmlns:ds="http://schemas.openxmlformats.org/officeDocument/2006/customXml" ds:itemID="{FCEF7EE5-55FB-4738-82DD-F7BEB137D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0b4f9-baf5-4ab5-ac05-2c0ad38bd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83AE40-579A-4709-919C-F16E5FBAD057}">
  <ds:schemaRefs>
    <ds:schemaRef ds:uri="http://schemas.microsoft.com/sharepoint/v3/contenttype/forms"/>
  </ds:schemaRefs>
</ds:datastoreItem>
</file>

<file path=customXml/itemProps4.xml><?xml version="1.0" encoding="utf-8"?>
<ds:datastoreItem xmlns:ds="http://schemas.openxmlformats.org/officeDocument/2006/customXml" ds:itemID="{3C1E473E-6E72-4069-99CC-E3933553F78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3777</Words>
  <Characters>21532</Characters>
  <Application>Microsoft Office Word</Application>
  <DocSecurity>0</DocSecurity>
  <Lines>179</Lines>
  <Paragraphs>50</Paragraphs>
  <ScaleCrop>false</ScaleCrop>
  <Company/>
  <LinksUpToDate>false</LinksUpToDate>
  <CharactersWithSpaces>25259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Breaux</dc:creator>
  <cp:keywords/>
  <cp:lastModifiedBy>Jennifer Breaux</cp:lastModifiedBy>
  <cp:revision>2</cp:revision>
  <cp:lastPrinted>2026-09-15T19:23:00Z</cp:lastPrinted>
  <dcterms:created xsi:type="dcterms:W3CDTF">2026-10-28T23:21:00Z</dcterms:created>
  <dcterms:modified xsi:type="dcterms:W3CDTF">2026-10-28T23:21:00Z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2019-05-28T00:00:00Z</vt:filetime>
  </property>
  <property fmtid="{D5CDD505-2E9C-101B-9397-08002B2CF9AE}" pid="3" name="Creator">
    <vt:lpwstr>Acrobat PDFMaker 19 for Word</vt:lpwstr>
  </property>
  <property fmtid="{D5CDD505-2E9C-101B-9397-08002B2CF9AE}" pid="4" name="LastSaved">
    <vt:filetime>2024-02-23T00:00:00Z</vt:filetime>
  </property>
  <property fmtid="{D5CDD505-2E9C-101B-9397-08002B2CF9AE}" pid="5" name="Producer">
    <vt:lpwstr>Adobe PDF Library 19.10.131</vt:lpwstr>
  </property>
  <property fmtid="{D5CDD505-2E9C-101B-9397-08002B2CF9AE}" pid="6" name="SourceModified">
    <vt:lpwstr>D:20190528181724</vt:lpwstr>
  </property>
  <property fmtid="{D5CDD505-2E9C-101B-9397-08002B2CF9AE}" pid="7" name="ContentTypeId">
    <vt:lpwstr>0x010100FFB43C75C2D7224C97712ABE23C38611</vt:lpwstr>
  </property>
  <property fmtid="{D5CDD505-2E9C-101B-9397-08002B2CF9AE}" pid="8" name="docLang">
    <vt:lpwstr>en</vt:lpwstr>
  </property>
</Properties>
</file>